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IMG_8111</w:t>
      </w:r>
    </w:p>
    <w:p/>
    <w:p/>
    <w:p>
      <w:pPr/>
      <w:r>
        <w:rPr/>
        <w:t xml:space="preserve">this virus through human-to-human transmission, with the fact that it has become widespread around the globe. This confirms the fact similar to the previous epidemics, including SARS and MERS, that this coronavirus exhibited potential human-to-human transmission, as it was recently declared a pandemic by WHO.7° Respiratory droplets are the major carrier for coronavirus transmission. Such droplets can either stay in the nose or mouth or enter the lungs via the inhaled air. Currently, it is known that COVID-19’s transmission from one person to another also occurs through touching either an infected surface or even an object. With the current scant awareness of the transmission systems however, airborne safety measures with a high-risk procedure have been proposed in many countries. Transmission levels, or the rates from one person to another, reported differ by both location and interaction with involvement in infection control. It is stated that even asymptomatic individuals or those individuals in their incubation period can act as carrier of SARS-CoV2.7” 2° With the data and evidence provided by the CDC, the usual incubation period is probably 3 to 7 days, sometimes being prolonged up to even 2 weeks, and the typical symptom occurrence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