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IMG_8114</w:t>
      </w:r>
    </w:p>
    <w:p/>
    <w:p/>
    <w:p>
      <w:pPr/>
      <w:r>
        <w:rPr/>
        <w:t xml:space="preserve">reexposure had no recurrence of COVID-19, like the SARS-CoV-2-infected monkeys without rechallenge. These findings suggest that primary infection with SARS-CoV-2 could protect from later exposures to the virus, which could help in defining disease prognosis and crucial inferences for designing and developing potent vaccines against COVID-19 (274). PREVENTION, CONTROL, AND MANAGEMENT In contrast to their response to the 2002 SARS outbreak, China has shown immense political openness in reporting the COVID-19 outbreak promptly. They have also performed rapid sequencing of COVID-19 at multiple levels and shared the findings globally within days of identifying the novel virus (225). The move made by China opened a new chapter in global health security and diplomacy. Even though complete lockdown was declared following the COVID-19 outbreak in Wuhan, the large-scale movement of people has resulted in a radiating spread of infections in the surrounding provinces as well as to several other countries. Large-scale screening programs might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