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IMG_8120</w:t>
      </w:r>
    </w:p>
    <w:p/>
    <w:p/>
    <w:p>
      <w:pPr/>
      <w:r>
        <w:rPr/>
        <w:t xml:space="preserve">persons are asked to work from home (232). Hence, it is a relief that the current outbreak of COVID-19 infection can be brought under control with the adoption of strategic preventive and _ control measures along with the early isolation of subsequent cases in the coming days. Studies also report that since air traffic between China and African countries increased many times over in the decade after the SARS outbreak, African countries need to be vigilant to prevent the spread of novel coronavirus in Africa (225). Due to fear of virus spread, Wuhan City was completely shut down (233). The immediate control of the ongoing COVID-19 outbreaks appears a mammoth task, especially for developing countries, due to their inability to allocate quarantine stations that could screen infected individuals’ movements (234). Such underdeveloped countries should divert their resources and energy to enforcing the primary level of preventive measures, like controlling the entry of individuals from China or countries where the disease has flared up, isolating the infected individuals, and quarantining individuals with suspected infection. Most of the sub-Saharan African countries have a fragile health system that can be</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2023-07-24T18:29:15+02:00</dcterms:created>
  <dcterms:modified xsi:type="dcterms:W3CDTF">2023-07-24T18:29:15+02:00</dcterms:modified>
</cp:coreProperties>
</file>

<file path=docProps/custom.xml><?xml version="1.0" encoding="utf-8"?>
<Properties xmlns="http://schemas.openxmlformats.org/officeDocument/2006/custom-properties" xmlns:vt="http://schemas.openxmlformats.org/officeDocument/2006/docPropsVTypes"/>
</file>