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IMG_8122</w:t>
      </w:r>
    </w:p>
    <w:p/>
    <w:p/>
    <w:p>
      <w:pPr/>
      <w:r>
        <w:rPr/>
        <w:t xml:space="preserve"> There is a new public health crises threatening the world with the emergence and spread of 2019 novel coronavirus (2019-nCoV) or the severe acute respiratory syndrome coronavirus 2 (SARS-CoV-2). The virus originated in bats and was transmitted to humans through yet unknown intermediary animals in Wuhan, Hubei province, China in December 2019. There have been around 96,000 reported cases of coronavirus disease 2019 (COVID-2019) and 3300 reported deaths to date (05/03/2020). The disease is transmitted by inhalation or contact with infected droplets and the incubation period ranges from 2 to 14 d. The symptoms are usually fever, cough, sore throat, breathlessness, fatigue, malaise among others. The disease is mild in most people; in some (usually the elderly and those with ecamoarhiditiac) it maw nrnoracc ta</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2023-07-24T18:29:15+02:00</dcterms:created>
  <dcterms:modified xsi:type="dcterms:W3CDTF">2023-07-24T18:29:15+02:00</dcterms:modified>
</cp:coreProperties>
</file>

<file path=docProps/custom.xml><?xml version="1.0" encoding="utf-8"?>
<Properties xmlns="http://schemas.openxmlformats.org/officeDocument/2006/custom-properties" xmlns:vt="http://schemas.openxmlformats.org/officeDocument/2006/docPropsVTypes"/>
</file>