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IMG_8125</w:t>
      </w:r>
    </w:p>
    <w:p/>
    <w:p/>
    <w:p>
      <w:pPr/>
      <w:r>
        <w:rPr/>
        <w:t xml:space="preserve">potential risk for the reemergence of SARS-CoV infection from the viruses that are currently circulating in the bat population (105). CLINICAL PATHOLOGY OF SARS-CoV-2 (COVID-19) The disease caused by SARS-CoV-2 is also named severe specific contagious pneumonia (SSCP), Wuhan pneumonia, and, recently, COVID- 19 (110). Compared to SARS-CoV, SARS-CoV-2 has less severe pathogenesis but has superior transmission capability, as evidenced by the rapidly increasing number of COVID-19 cases (111). The incubation period of SARS-CoV-2 in familial clusters was found to be 3 to 6 days (112). The mean incubation period of COVID-19 was found to be 6.4 days, ranging from 2.1 to 11.1 days (113). Among an early affected group of 425 patients, 59 years was the median age, of which more males were affected (114). Similar to SARS and MERS, the severity of this nCoV is high in age groups above 50 years (2, 115). Symptoms of COVID-19 include fever, cough, myalgia or fatigue, and, less commonly, headache, hemoptysis, and diarrhea (116, 282). Compared to the SARS-CoV-2-infected patients in Wuhan during</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2023-07-24T18:45:43+02:00</dcterms:created>
  <dcterms:modified xsi:type="dcterms:W3CDTF">2023-07-24T18:45:43+02:00</dcterms:modified>
</cp:coreProperties>
</file>

<file path=docProps/custom.xml><?xml version="1.0" encoding="utf-8"?>
<Properties xmlns="http://schemas.openxmlformats.org/officeDocument/2006/custom-properties" xmlns:vt="http://schemas.openxmlformats.org/officeDocument/2006/docPropsVTypes"/>
</file>