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IMG_8128</w:t>
      </w:r>
    </w:p>
    <w:p/>
    <w:p/>
    <w:p>
      <w:pPr/>
      <w:r>
        <w:rPr/>
        <w:t xml:space="preserve">pandemic was China, which reported a significant number of deaths associated with COVID-19, with 84,458 laboratory-confirmed cases and 4,644 deaths as of 13 May 2020 (Fig. 4). As of 13 May 2020, SARS-CoV-2 confirmed cases have been reported in more than 210 countries apart from China (Fig. 3 and 4) (WHO Situation Report 114) (25, 64). COVID-19 has been reported on all continents except Antarctica. For many weeks, Italy was the focus of concerns regarding the large number of cases, with 221,216 cases and 30,911 deaths, but now, the United States is the country with the largest number of cases, 1,322,054, and 79,634 deaths. Now, the United Kingdom has even more cases (226,4671) and deaths (32,692) than Italy. A John Hopkins University web platform has provided daily updates on the basic epidemiology of the COVID-19 outbreak</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2023-07-24T18:45:44+02:00</dcterms:created>
  <dcterms:modified xsi:type="dcterms:W3CDTF">2023-07-24T18:45:44+02:00</dcterms:modified>
</cp:coreProperties>
</file>

<file path=docProps/custom.xml><?xml version="1.0" encoding="utf-8"?>
<Properties xmlns="http://schemas.openxmlformats.org/officeDocument/2006/custom-properties" xmlns:vt="http://schemas.openxmlformats.org/officeDocument/2006/docPropsVTypes"/>
</file>