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IMG_8130</w:t>
      </w:r>
    </w:p>
    <w:p/>
    <w:p/>
    <w:p>
      <w:pPr/>
      <w:r>
        <w:rPr/>
        <w:t xml:space="preserve">approach may play a vital role in the prevention and control measures being followed to restrain this pandemic virus (317-319). The © substantial importation of COVID-19 presymptomatic cases from Wuhan has resulted in independent, self- sustaining outbreaks across major cities both within the country and across the globe. The majority of Chinese cities are now facing localized outbreaks of COVID-19 (231). Hence, deploying efficient public health interventions might help to cut the spread of this virus globally. The occurrence of COVID-19 infection on several cruise ships gave us a preliminary idea regarding the transmission pattern of the disease. Cruise ships act as a closed environment and provide an ideal setting for the occurrence of respiratory disease outbreaks. Such a situation poses a significant threat to travelers, since people from different countries are on board, which favors the introduction of the pathogen (320). Although nearly 30 cruise ships from different countries have been found harboring COVID-19 infection, the major cruise ships that were involved in the COVID-19 outbreaks are the Diamond Princess, Grand Princess, Celebrity Apex, and Ruby Princess. The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2023-07-24T18:45:44+02:00</dcterms:created>
  <dcterms:modified xsi:type="dcterms:W3CDTF">2023-07-24T18:45:44+02:00</dcterms:modified>
</cp:coreProperties>
</file>

<file path=docProps/custom.xml><?xml version="1.0" encoding="utf-8"?>
<Properties xmlns="http://schemas.openxmlformats.org/officeDocument/2006/custom-properties" xmlns:vt="http://schemas.openxmlformats.org/officeDocument/2006/docPropsVTypes"/>
</file>