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IMG_8140</w:t>
      </w:r>
    </w:p>
    <w:p/>
    <w:p/>
    <w:p>
      <w:pPr/>
      <w:r>
        <w:rPr/>
        <w:t xml:space="preserve">chloroquine, tested in comparison to remdesivir and favipiravir (broad-spectrum antiviral drugs) revealed remdesivir and chloroquine to be highly effective against SARS-CoV-2 infection in vitro (194). Ribavirin, penciclovir, and favipiravir might not possess noteworthy in vivo antiviral actions for SARS-CoV-2, since higher concentrations of these nucleoside analogs are needed in vitro to lessen the viral infection. Both remdesivir and chloroquine are being used in humans to treat other diseases, and such safer drugs can be explored for assessing their effectiveness in COVID-19 patients. Several therapeutic agents, such as lopinavir/ritonavir, chloroquine, and hydroxychloroquine, have been proposed for the clinical management of COVID-19 (299). A molecular docking study, conducted in the RNA- dependent RNA polymerase (RdRp) of SARS-CoV-2 using different commercially available antipolymerase drugs, identified that drugs such as ribavirin, remdesivir, galidesivir, tenofovir, and sofosbuvir bind RdRp tightly, indicating their vast potential to be used against COVID-19 (305). A broad-spectrum antiviral drug that was developed in the United States, tilorone dihydrochloride (tilorone),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