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IMG_8148</w:t>
      </w:r>
    </w:p>
    <w:p/>
    <w:p/>
    <w:p>
      <w:pPr/>
      <w:r>
        <w:rPr/>
        <w:t xml:space="preserve">infection, limiting its use to the earlier stages of infection. Several laboratories around the world are currently developing antibody-based diagnostic tests against SARS-CoV-2 (157). Chest CT is an ideal diagnostic tool for identifying viral pneumonia. The sensitivity of chest CT is far superior to that of X-ray screening. The chest CT findings associated with COVID-19- infected patients include characteristic patchy infiltration that later progresses to ground-glass opacities (158). Early manifestations of COVID-19 pneumonia might not be evident in X-ray chest radiography. In such situations, a chest CT examination can be performed, as it is considered highly specific for COVID-19 pneumonia (118). Those patients having COVID-19 pneumonia will exhibit the typical ground-glass opacity in their chest CT images (154). The patients infected with COVID-19 had elevated plasma angiotensin 2 levels. The level of angiotensin 2 was found to be linearly associated with viral load and lung injury, indicating its potential as a diagnostic biomarker (121). The chest CT imaging abnormalities associated with COVID-19 pneumonia have also been observed even in asymptomatic patients. These abnormalities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2023-07-24T18:45:44+02:00</dcterms:created>
  <dcterms:modified xsi:type="dcterms:W3CDTF">2023-07-24T18:45:44+02:00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