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IMG_8157</w:t>
      </w:r>
    </w:p>
    <w:p/>
    <w:p/>
    <w:p>
      <w:pPr/>
      <w:r>
        <w:rPr/>
        <w:t xml:space="preserve">recognised by neutralising antibodies. The spike S-protein being in a spike form is subjected to a structural rearrangement process so that fusing the outer membrane of the virus with the host- cell membrane becomes easier.'* 7° Recent SARS-CoV work has also shown that the membrane exopeptidase ACE enzyme (angiotensin-converting enzyme) functions as a COVID-19 receptor to enter the human cell.*' -HE FIGURE 1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2023-07-24T18:45:44+02:00</dcterms:created>
  <dcterms:modified xsi:type="dcterms:W3CDTF">2023-07-24T18:45:44+02:00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