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IMG_8159</w:t>
      </w:r>
    </w:p>
    <w:p/>
    <w:p/>
    <w:p>
      <w:pPr/>
      <w:r>
        <w:rPr/>
        <w:t xml:space="preserve">humans. The broad-spectrum activity exhibited by remdesivir will help control the spread of disease in the event of a new coronavirus outbreak. Chloroquine is an antimalarial drug known to possess antiviral activity due to its ability to block virus-cell fusion by raising the endosomal pH necessary for fusion. It also interferes with virus- receptor binding by interfering with the terminal glycosylation of SARS-CoV cellular receptors, such as ACE2 (196). In a recent multicenter clinical trial that was conducted in China, chloroquine phosphate was found to exhibit both efficacy and safety in the therapeutic management of SARS-CoV-2-associated pneumonia (197). This drug is already included in the treatment guidelines issued by the National Health Commission of the People’s Republic of China. The preliminary clinical trials using hydroxychloroquine, another aminoquinoline drug, gave promising results. The COVID-19 patients received 600 mg of hydroxychloroquine daily along with azithromycin as a single-arm protocol. This protocol was found to be associated with a noteworthy reduction in viral load. Finally, it resulted in a complete cure (271); however, the study comprised a small population and, hence,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