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IMG_8173</w:t>
      </w:r>
    </w:p>
    <w:p/>
    <w:p/>
    <w:p>
      <w:pPr/>
      <w:r>
        <w:rPr/>
        <w:t xml:space="preserve">this is both challenging as well as time-consuming due to the present extent of infection (226). The current scenario demands effective implementation of vigorous prevention and control strategies owing to the prospect of COVID-19 for nosocomial infections (68). Follow-ups of infected patients by telephone on day 7 and day 14 are advised to avoid any further unintentional spread or nosocomial transmission (312). The availability of public data sets provided by independent analytical teams will act as robust evidence that would guide us in designing interventions against the COVID-19 outbreak. Newspaper reports and social media can be used to analyze and reconstruct the progression of an outbreak. They can help us to obtain detailed patient- level data in the early stages of an outbreak (227). Immediate travel restrictions imposed by several countries might have contributed significantly to preventing the spread of SARS-CoV-2 globally (89, 228). Following the outbreak, a temporary ban was imposed on the wildlife trade, keeping in mind the possible role played by wild animal species in the origin of SARS-CoV-2/COVID-19 (147). Making a permanent and bold decision on the trade of wild animal species is necessary to prevent the possibility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