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IMG_8185</w:t>
      </w:r>
    </w:p>
    <w:p/>
    <w:p/>
    <w:p>
      <w:pPr/>
      <w:r>
        <w:rPr/>
        <w:t xml:space="preserve">arranged in helical symmetry, which reflects an atypical attribute in positive-sense RNA viruses (30). The electron micrographs of SARS-CoV-2 revealed a diverging spherical outline with some degree of pleomorphism, virion diameters varying from 60 to 140 nm, and distinct spikes of 9 to 12 nm, giving the virus the appearance of a solar corona (3). The CoV genome is arranged linearly as 5’-leader-UTR- replicase-structural genes (S-E-M-N)-3' UTR- poly(A) (32). Accessory genes, such as 3a/b, 4a/b, and the hemagglutinin-esterase gene (HE), are also seen intermingled with the structural genes (30). SARS-CoV-2 has also been found to be arranged similarly and encodes several accessory proteins, although it lacks the HE, which is characteristic of some betacoronaviruses (31). The positive-sense genome of CoVs serves as the mRNA and is translated to polyprotein la/lab (ppla/lab) (33). A replication-transcription complex (RTC) is formed in double-membrane vesicles (DMVs) by nonstructural proteins (nsps), encoded by the polyprotein gene (34). Subsequently, the RTC synthesizes a nested set of subgenomic RNAs (sgRNAs) via discontinuous transcription (35).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2023-07-24T18:45:46+02:00</dcterms:created>
  <dcterms:modified xsi:type="dcterms:W3CDTF">2023-07-24T18:45:46+02:00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