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IMG_8200</w:t>
      </w:r>
    </w:p>
    <w:p/>
    <w:p/>
    <w:p>
      <w:pPr/>
      <w:r>
        <w:rPr/>
        <w:t xml:space="preserve">44% of the frontline health-care workers from a hosp were infected with SARS-CoV-2 (REF). The high transmissibility of SARS-CoV-2 may be attributed to the unique virological features o SARS-CoV-2. Transmission of SARS-CoV occurred mainly after illness onset and peaked following dis- ease severity”’. However, the SARS-CoV-2 viral load in upper respiratory tract samples was already high- est during the first week of symptoms, and thus the risk of pharyngeal virus shedding was very high a the beginning of infection”””. It was postulated tha undocumented infections might account for 79% o: documented cases owing to the high transmissibility of the virus during mild disease or the asymptomatic period’. A patient with COVID-19 spreads viruses in liquid droplets during speech. However, smaller and much more numerous particles known as aerosol parti- cles can also be visualized, which could linger in the air for a long time and then penetrate deep into the lungs when inhaled by someone else”*"'. Airborne trans- mission was also observed in the ferret experiments mentioned above. SARS-CoV-2-infected ferrets shed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2023-07-24T18:29:16+02:00</dcterms:created>
  <dcterms:modified xsi:type="dcterms:W3CDTF">2023-07-24T18:29:16+02:00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