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IMG_8207</w:t>
      </w:r>
    </w:p>
    <w:p/>
    <w:p/>
    <w:p>
      <w:pPr/>
      <w:r>
        <w:rPr/>
        <w:t xml:space="preserve">Chinese government is encouraging people to feel they can return to normalcy. However, this could be a risk, as it has been mentioned in advisories that people should avoid contact with live-dead animals as much as possible, as SARS-CoV-2 has shown zoonotic spillover. Additionally, we cannot rule out the possibility of new mutations in the same virus being closely related to contact with both animals and humans at the market (284). In January 2020, China imposed a temporary ban on the sale of live- dead animals in wet markets. However, now hundreds of such wet markets have been reopened without optimizing standard food safety and sanitation practices (286). With China being the most populated country in the world and due to its domestic and international food exportation policies, the whole world is now facing the menace of COVID-19, including China itself. Wet markets of live-dead animals do not maintain strict food hygienic practices. Fresh blood splashes are present everywhere, on the floor and tabletops, and such food customs could encourage many pathogens to adapt, mutate, and jump the species barrier. As a result, the whole world is suffering from novel SARS-CoV-2, with more than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