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IMG_8213</w:t>
      </w:r>
    </w:p>
    <w:p/>
    <w:p/>
    <w:p>
      <w:pPr/>
      <w:r>
        <w:rPr/>
        <w:t xml:space="preserve">has the potential to infect humans. However, they may shed MERS-CoV through milk, urine, feces, and nasal and eye discharge and can also be found in the raw organs (108). In a study conducted to evaluate the susceptibility of animal species to MERS-CoV infection, llamas and pigs were found to be susceptible, indicating the possibility of MERS- CoV circulation in animal species other than dromedary camels (109). Following the outbreak of SARS in China, SARS-CoV-like viruses were isolated from Himalayan palm civets (Paguma larvata) and raccoon dogs (Nyctereutes procyonoides) found in a live-animal market in Guangdong, China. The animal isolates obtained from the live-animal market retained a 29-nucleotide sequence that was not present in most of the human isolates (78). These findings were critical in identifying the possibility of interspecies transmission in SARS-CoV. The higher diversity and prevalence of bat coronaviruses in this region compared to those in previous reports indicate a host/pathogen coevolution. SARS -like coronaviruses also have been found circulating in the Chinese horseshoe bat (Rhinolophus _ sinicus) populations. The in vitro and in vivo studies carried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