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IMG_8214</w:t>
      </w:r>
    </w:p>
    <w:p/>
    <w:p/>
    <w:p>
      <w:pPr/>
      <w:r>
        <w:rPr/>
        <w:t xml:space="preserve">There is an urgent need for a rational international campaign against the unhealthy food practices of China to encourage the sellers to increase hygienic food practices or close the crude live-dead animal wet markets. There is a need to modify food policies at national and international levels to avoid further life threats and economic consequences from any emerging or reemerging pandemic due to close animal-human interaction (285). Even though individuals of all ages and sexes are susceptible to COVID-19, older people with an underlying chronic disease are more likely to become severely infected (80). Recently, individuals with asymptomatic infection were also found to act as a source of infection to susceptible individuals (81). Both the asymptomatic and symptomatic patients secrete similar viral loads, which indicates that the transmission capacity of asymptomatic or minimally symptomatic patients is very high. Thus, SARS-CoV-2 transmission can happen early in the course of infection (82). Atypical clinical manifestations have also been reported in COVID-19 in which the only reporting symptom was fatigue. Such patients may lack respiratory signs, such as fever, cough, and sputum (83). Hence, the clinicians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