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IMG_8218</w:t>
      </w:r>
    </w:p>
    <w:p/>
    <w:p/>
    <w:p>
      <w:pPr/>
      <w:r>
        <w:rPr/>
        <w:t xml:space="preserve">on 11 March 2020, they declared it a pandemic situation. At present, we are not in a position to effectively treat COVID-19, since neither approved vaccines nor specific antiviral drugs for treating human CoV infections are available (7-9). Most nations are currently making efforts to prevent the further spreading of this potentially deadly virus by implementing preventive and control strategies. In domestic animals, infections with CoVs are associated with a broad spectrum of pathological conditions. Apart from infectious bronchitis virus, canine respiratory CoV, and mouse hepatitis virus, CoVs are predominantly associated with gastrointestinal diseases (10). The emergence of novel CoVs may have become possible because of multiple CoVs being maintained in their natural host, which could have favored the probability of genetic recombination (10). High genetic diversity and the ability to infect multiple host species are a result of high-frequency mutations in CoVs, which occur due to the instability of RNA-dependent RNA polymerases along with higher rates of homologous RNA recombination (10, 11). Identifying the origin of SARS-CoV-2 and the pathogen’s evolution will be helpful for disease surveillance (12), development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