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IMG_8228</w:t>
      </w:r>
    </w:p>
    <w:p/>
    <w:p/>
    <w:p>
      <w:pPr/>
      <w:r>
        <w:rPr/>
        <w:t xml:space="preserve">nature of this novel virus (36, 189). Presently, the main course of treatment for severely affected SARS-CoV-2 patients admitted to hospitals includes mechanical ventilation, intensive care unit (ICU) admittance, and symptomatic and _ supportive therapies. Additionally, RNA synthesis inhibitors (lamivudine and tenofovir disoproxil fumarate), remdesivir, neuraminidase inhibitors, peptide (EK 1), anti-inflammatory drugs, abidol, and Chinese traditional medicine (Lianhuagingwen — and ShuFengJieDu capsules) could aid in COVID-19 treatment. However, further clinical trials are being carried out concerning their safety and efficacy (7). It might require months to a year(s) to design and develop effective drugs, therapeutics, and vaccines against COVID-19, with adequate evaluation and approval from regulatory bodies and moving to the bulk production of many millions of doses at commercial levels to meet the timely demand of mass populations across the globe (9). Continuous efforts are also warranted to identify and assess viable drugs and immunotherapeutic regimens that revealed proven potency in combating other viral agents similar to SARS-CoV-2. COVID-19 patients showing severe signs are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