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IMG_8235</w:t>
      </w:r>
    </w:p>
    <w:p/>
    <w:p/>
    <w:p>
      <w:pPr/>
      <w:r>
        <w:rPr/>
        <w:t xml:space="preserve">discharge criteria in laboratory-confirmed cases of COVID-19 (326). The COVID-19 pandemic does not have any novel factors, other than the genetically unique pathogen and a further possible reservoir. The cause and the likely future outcome are just repetitions of our previous interactions with fatal coronaviruses. The only difference is the time of occurrence and the genetic distinctness of the pathogen involved. Mutations on the RBD of CoVs facilitated their capability of infecting newer hosts, thereby expanding their reach to all corners of the world (85). This is a potential threat to the health of both animals and humans. Advanced studies using Bayesian phylogeographic reconstruction identified the most probable origin of SARS-CoV-2 as the bat SARS-like coronavirus, circulating in the Rhinolophus bat family (86). Phylogenetic analysis of 10 whole-genome sequences of SARS-CoV-2 showed that they are related to two CoVs of bat origin, namely, bat-SL- CoVZC45 and _ bat-SL-CoVZXC21, which were reported during 2018 in China (17). It was reported that SARS-CoV-2 had been confirmed to use ACE2 as an entry receptor while exhibiting an RBD similar</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2023-07-24T18:45:49+02:00</dcterms:created>
  <dcterms:modified xsi:type="dcterms:W3CDTF">2023-07-24T18:45:49+02:00</dcterms:modified>
</cp:coreProperties>
</file>

<file path=docProps/custom.xml><?xml version="1.0" encoding="utf-8"?>
<Properties xmlns="http://schemas.openxmlformats.org/officeDocument/2006/custom-properties" xmlns:vt="http://schemas.openxmlformats.org/officeDocument/2006/docPropsVTypes"/>
</file>