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IMG_8240</w:t>
      </w:r>
    </w:p>
    <w:p/>
    <w:p/>
    <w:p>
      <w:pPr/>
      <w:r>
        <w:rPr/>
        <w:t xml:space="preserve">further studies (332). Rather than waiting for firmer evidence on animal-to-human transmission, necessary preventive measures are advised, as well as following social distancing practices among companion animals of different households (331). One of the leading veterinary diagnostic companies, IDEXX, has conducted large-scale testing for COVID-19 in specimens collected from dogs and cats. However, none of the tests turned out to be positive (334). In a study conducted to investigate the potential of different animal species to act as the intermediate host of SARS-CoV-2, it was found that both ferrets and cats can be infected via experimental inoculation of the virus. In addition, infected cats efficiently transmitted the disease to naive cats (329). SARS- CoV-2 infection and subsequent transmission in ferrets were found to recapitulate the clinical aspects of COVID-19 in humans. The infected ferrets also shed virus via multiple routes, such as saliva, nasal washes, feces, and urine, postinfection, making them an ideal animal model for studying disease transmission (337). Experimental inoculation was also done in other animal species and found that the dogs have low susceptibility, while the chickens,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