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IMG_8247</w:t>
      </w:r>
    </w:p>
    <w:p/>
    <w:p/>
    <w:p>
      <w:pPr/>
      <w:r>
        <w:rPr/>
        <w:t xml:space="preserve">hygiene before feeding the baby. In addition, it is advisable that breast pumps are cleaned properly after each use and, if possible, a healthy individual is available to feed the expressed breast milk to the infant.4 7.2 Children and elderly population On the basis of the available reports, COVID-19 among children accounted for 1-5% of the confirmed cases, and this population does not seem to be at higher risk for the disease than adults. There is no difference in the COVID-19 symptoms between adults and children. However, the available evidence indicated that children diagnosed with COVID-19 have milder symptoms than the adults, with a low mortality rate.*® 49 On the contrary, older people who are above the age of 65 years are at higher risk for a severe course of disease. In the United Stated, approximately 31-59% of those with confirmed COVID-19 between the ages of 65 and 84 years old required hospitalisation, 11-31% of them required admission to the intensive care unit, and 4-11% died.°°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2023-07-24T18:29:17+02:00</dcterms:created>
  <dcterms:modified xsi:type="dcterms:W3CDTF">2023-07-24T18:29:17+02:00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