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IMG_8261</w:t>
      </w:r>
    </w:p>
    <w:p/>
    <w:p/>
    <w:p>
      <w:pPr/>
      <w:r>
        <w:rPr/>
        <w:t xml:space="preserve">humans manifests itself as mild symptoms to severe respiratory failure. On binding to epithelial cells in the respiratory tract, SARS-CoV-2 starts replicating and migrating down to the airways and enters alveo- lar epithelial cells in the lungs. The rapid replication of SARS-CoV-2 in the lungs may trigger a strong immune response. Cytokine storm syndrome causes acute res- piratory distress syndrome and respiratory failure, which is considered the main cause of death in patients with COVID-19 (REFS*”"!). Patients of older age (&gt;60 years) and with serious pre-existing diseases have a greater risk of developing acute respiratory distress syndrome and death" (FIG. 4). Multiple organ failure has also been reported in some COVID-19 cases**. Histopathological changes in patients with COVID-19 occur mainly in the lungs. Histopathology analyses showed bilateral diffused alveolar damage, hyaline membrane formation, desquamation of pneumocytes and fibrin deposits in lungs of patients with severe COVID-19. Exudative inflammation was also shown in some cases. Immunohistochemistry assays detected SARS-CoV-2 antigen in the upper airway, bronchiolar epithelium and submucosal gland epithelium, as well as in type I and type II pneumocytes, alveolar macrophages and hyaline membranes in the lungs'*"”, Animal models used for studying SARS-CoV-2 infection pathogenesis include non-human primates (rhesus macaques, cynomolgus monkeys, marmosets and African green monkeys), mice (wild-type mice (with mouse-adapted virus) and human ACE2-transgenic or human ACE2-knock-in mice), ferrets and golden hamsters*“**-“. In non-human primate animal mod- els, most species display clinical features similar to those of patients with COVID- 19, including virus shedding, virus replication and host responses to SARS-CoV-2 infection®”””*. For example, in the rhesus macaque model, high viral loads were detected in the upper and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2023-07-24T18:45:49+02:00</dcterms:created>
  <dcterms:modified xsi:type="dcterms:W3CDTF">2023-07-24T18:45:49+02:00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