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IMG_8280</w:t>
      </w:r>
    </w:p>
    <w:p/>
    <w:p/>
    <w:p>
      <w:pPr/>
      <w:r>
        <w:rPr/>
        <w:t xml:space="preserve">number of confirmed cases suddenly increased, with thousands of new cases diagnosed daily during late January’’. On 30 January, the WHO declared the novel coronavirus outbreak a public health emergency of inter- national concern'®. On 11 February, the International Committee on Taxonomy of Viruses named the novel coronavirus ‘SARS-CoV-2; and the WHO named the disease ‘COVID-19’ (REF). 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n the following couple of weeks, all outdoor activities and gatherings were restricted, and public facilities were closed in most cities as well as in countryside'*. Owing to hese measures, the daily number of new cases in China started to decrease steadily’. However, despite the declining trend in China, the international spread of COVID-19 accelerated from late February. Large clusters of infection have been reported from an increasing number of countries!*. The high transmission efficiency of SARS-CoV-2 and the abun- dance of international travel enabled rapid worldwide spread of COVID-19. On 11 March 2020, the WHO officially characterized the global COVID-19 out- break as a pandemic”’. Since March, while COVID-19 in China has become effectively controlled, the case numbers in Europe, the USA and other regions have jumped sharply. According to the COVID-19 dash- board of the Center for System Science and Engineering at Johns Hopkins University, as of 11 August 2020,</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