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IMG_8284</w:t>
      </w:r>
    </w:p>
    <w:p/>
    <w:p/>
    <w:p>
      <w:pPr/>
      <w:r>
        <w:rPr/>
        <w:t xml:space="preserve">proteins of COVID-19 have revealed 27 amino acid substitutions within a 1,273-amino-acid stretch (16). Six substitutions are located in the RBD (amino acids 357 to 528), while four substitutions are in the RBM at the CTD of the S1 domain (16). Of note, no amino acid change is seen in the RBM, which binds directly to the angiotensin-converting enzyme-2 (ACE2) receptor in SARS-CoV (16, 46). At present, the main emphasis is knowing how many differences would be required to change the host tropism. Sequence comparison revealed 17 nonsynonymous changes between the early sequence of SARS-CoV-2 and the later isolates of SARS-CoV. The changes were found scattered over the genome of the virus, with nine substitutions in ORFlab, ORF8 (4 substitutions), the spike gene (3 substitutions), and ORF7a (single substitution) (4). Notably, the same nonsynonymous changes were found in a familial cluster, indicating that the viral evolution happened during person-to-person transmission (4, 47). Such adaptive evolution events are frequent and constitute a constantly ongoing process once the virus spreads among new hosts (47). Even though no functional changes occur in the virus associated with this adaptive evolution, close monitoring of the viral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