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Times New Roman" w:hAnsi="Times New Roman" w:eastAsia="Times New Roman" w:cs="Times New Roman"/>
          <w:sz w:val="26"/>
          <w:szCs w:val="26"/>
          <w:b w:val="1"/>
          <w:bCs w:val="1"/>
        </w:rPr>
        <w:t xml:space="preserve">IMG_8285</w:t>
      </w:r>
    </w:p>
    <w:p/>
    <w:p/>
    <w:p>
      <w:pPr/>
      <w:r>
        <w:rPr/>
        <w:t xml:space="preserve">injury associated with human-machine incoordination (122). The result obtained from a clinical study of four patients infected with COVID- 19 claimed that combination therapy using lopinavir/ritonavir, arbidol, and Shufeng Jiedu capsules (traditional Chinese medicine) was found to be effective in managing COVID-19 pneumonia (193). It is difficult to evaluate the therapeutic potential of a drug or a combination of drugs for managing a disease based on such a limited sample size. Before choosing the ideal therapeutic agent for the management of COVID-19, randomized clinical control studies should be performed with a sufficient study population. Antiviral Drugs Several classes of routinely used antiviral drugs, like oseltamivir (neuraminidase inhibitor), acyclovir, ganciclovir, and ribavirin, do not have any effect on COVID-19 and, hence, are not recommended (187). Oseltamivir, a neuraminidase inhibitor, has been explored in Chinese hospitals for treating suspected COVID-19 cases, although proven efficacy against SARS-CoV-2 is still lacking for this drug (7). The in vitro antiviral potential of FAD-approved drugs, viz.,</w:t>
      </w:r>
    </w:p>
    <w:p>
      <w:r>
        <w:br w:type="page"/>
      </w:r>
    </w:p>
    <w:sectPr>
      <w:headerReference w:type="default" r:id="rId7"/>
      <w:pgSz w:orient="portrait" w:w="11905.511811023621703498065471649169921875" w:h="16837.795275590549863409250974655151367187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/>
      <w:t xml:space="preserve">Project Task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2023-07-24T18:45:50+02:00</dcterms:created>
  <dcterms:modified xsi:type="dcterms:W3CDTF">2023-07-24T18:45:50+02:00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