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IMG_8286</w:t>
      </w:r>
    </w:p>
    <w:p/>
    <w:p/>
    <w:p>
      <w:pPr/>
      <w:r>
        <w:rPr/>
        <w:t xml:space="preserve">many different animals, and they can cause mild to severe respiratory infections in humans. In 2002 and 2012, respectively, two highly pathogenic coronaviruses with zoonotic origin, severe acute respiratory syndrome coronavirus (SARS-CoV) and Middle East respiratory syndrome coronavirus (MERS-CoV), emerged in humans and caused fatal respiratory illness, making emerging coronaviruses a new public health concern in the twenty-first century’. At the end of 2019, a novel coronavirus designated as SARS-CoV-2 emerged in the city of Wuhan, China, and caused an outbreak of unusual viral pneumonia. Being highly transmissible, this novel coronavirus disease, also known as coronavirus disease 2019 (COVID-19), has spread fast all over the world*’. it has overwhelmingly surpassed SARS and MERS in erms of both the number of infected people and the spatial range of epidemic areas. The ongoing outbreak of COVID-19 has posed an extraordinary threat to global public health*». In this Review, we summarize the cur- rent understanding of the nature of SARS-CoV-2 and COVID-19. On the basis of recently published findings, his comprehensive Review covers the basic biology of SARS-CoV-2, including the genetic characteristics, the potential zoonotic origin and its receptor binding. Furthermore, we will discuss the clinical and epide- miological features, diagnosis of and countermeasures against COVID-19. Emergence and spread In late December 2019, several health facilities in Wuhan, in Hubei province in China, reported clusters of patients with pneumonia of unknown cause’. Similarly to patients with SARS and MERS, these patients showed symptoms of viral pneumonia, including fever, cough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