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IMG_8297</w:t>
      </w:r>
    </w:p>
    <w:p/>
    <w:p/>
    <w:p>
      <w:pPr/>
      <w:r>
        <w:rPr/>
        <w:t xml:space="preserve">lasting neutralizing immunity against MERS spike pseudotyped virus, characterized by the induction of systemic IgG, secretory IgA, and lung-resident memory T-cell responses (177). Immunoinformatics methods have been employed for the genome-wide screening of potential vaccine targets among the different immunogens of MERS-CoV (178). The N protein and the potential B-cell epitopes of MERS- CoV E_ protein have been’ suggested as immunoprotective targets inducing both T-cell and neutralizing antibody responses (178, 179). The collaborative effort of the researchers of Rocky Mountain Laboratories and Oxford University is designing a chimpanzee adenovirus-vectored vaccine to counter COVID-19 (180). The Coalition for Epidemic Preparedness Innovations (CEPI) has initiated three programs to design SARS-CoV-2 vaccines (181). CEPI has a collaborative project with Inovio for designing a MERS-CoV DNA vaccine that could potentiate effective immunity. CEPI and the University of Queensland are designing a molecular clamp vaccine platform for MERS-CoV and other pathogens, which could assist in the easier identification of antigens by the immune system (181). CEPT has also funded Moderna to develon a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2023-07-24T18:29:17+02:00</dcterms:created>
  <dcterms:modified xsi:type="dcterms:W3CDTF">2023-07-24T18:29:17+02:00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