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attempt? Doubtless he has his suspicious side, but why suppose him an absolute villain? Such extreme outrages are beyond him; he is incapable of them physically, why judge him capable of them morally? Has he not pledged honor? Has he not said, "No one in Europe doubts my word?" Let us fear nothing. To this could be answered, Crimes are committed either on a grand or on a mean scale. In the first category there is Caesar; in the second there is Mandrin. Caesar passes the Rubicon, Mandarin bestrides the gutter. But wise men interposed, "Are we not prejudiced by offensive conjectures? This man has been exiled and unfortunate. Exile enlightens, misfortune corrects." For his part Louis Bonaparte protested energetically. Facts abounded in his favor. Why should he not act in good faith? He had made remarkable promises. Towards the end of October, 1848, then a candidate for the Presidency, he was calling at No. 37, Rue de la Tour d'Auvergne, on a certain personage, to whom he remarked, "| wish to have an explanation with you. They slander me. Do | give you the impression of a madman? They think that | wish to revivify Napoleon. There are two men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