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which was wanting in me. For many years past he had acquired a certain practical knowledge of the masses. His council was wise. It must be added that all the information which came to us seconded him, and appeared conclusive against me. Paris was dejected. The army of the coup d'état invaded her peaceably. Even the placards were not torn down. Nearly all the Representatives present, even the most daring, agreed with Michel's counsel, to wait and see what would happen. "At night," said they, "the agitation will begin," and they concluded, like Michel de Bourges, that the people must be given time to understand. There would be a risk of being alone in too hasty a beginning. We should not carry the people with us in the first moment. Let us leave the indignation to increase little by little in their hearts. If it were begun prematurely our manifestation would miscarry. These were the sentiments of all. For myself, while listening to them, | felt shaken. Perhaps they were right. It would be a mistake to give the signal for the combat in vain. What good is the lightning which is not followed by the thunderbolt? To raise a voice, to give vent to a cry, to find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