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to the Court of Appeal, the other on the left, which led to the Court of Cassation. The folding-doors to the left opened upon an old gallery called St. Louis, recently restored, and which serves at the present time for a Salle des Pas Perdus to the barristers of the Court of Cassation. A wooden statue of St. Louis stood opposite the entrance door. An entrance contrived in a niche to the right of this statue led into a winding lobby ending in a sort of blind passage, which apparently was closed by two double doors. On the door to the right might be read "First President's Room;" on the door to the left, "Council Chamber." Between these two doors, for the convenience of the barristers going from the Hall to the Civil Chamber, which formerly was the Great Chamber of Parliament, had been formed a narrow and dark passage, in which, as one of them remarked, "every crime could be committed with impunity." Leaving on one side the First President's Room and opening the door which bore the inscription "Council Chamber," a large room was crossed, furnished with a huge horseshoe table, surrounded by green chairs. At the end of this room, which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