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inasmuch he had been nicknamed "de la Seine" to distinguish him from M. Moreau (de la Meurthe), who on his side was noteworthy, inasmuch as he had been nicknamed "de la Meurthe" to distinguish him from M. Moreau (de la Seine). The first Assistant, M. Grandet, had been President of the Chamber at Paris. | have read this panegyric of him: "He is known to possess no individuality or opinion of his own whatsoever." The second Assistant, M. Quesnault, a Liberal, a Deputy, a Public Functionary, AdvocateGeneral, a Conservative, learned, obedient, had attained by making a stepping-stone of each of these attributes, to the Criminal Chamber of the Court of Cassation, where he was known as one of the most severe members. 1848 had shocked his notion of Right, he had resigned after the 24th of February; he did not resign after the 2d December. M. Hardouin, who presided over the High Court, was an ex-President of Assizes, a religious man, a rigid Jansenist, noted amongst his colleagues as a "scrupulous magistrate," living in Port Royal, a diligent reader of Nicolle, belonging to the race of the old Parliamentarians of the Marais,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