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rFonts w:ascii="Times New Roman" w:hAnsi="Times New Roman" w:eastAsia="Times New Roman" w:cs="Times New Roman"/>
          <w:b/>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2011-2016.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avg growth in applications.[ALL]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[no sub menu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2 a) </w:t>
      </w:r>
      <w:r>
        <w:rPr>
          <w:rFonts w:cs="Times New Roman" w:ascii="Times New Roman" w:hAnsi="Times New Roman"/>
          <w:sz w:val="26"/>
          <w:szCs w:val="26"/>
          <w:lang w:eastAsia="en-IN"/>
        </w:rPr>
        <w:t>Which part of the US has the most Data Engineer jobs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year.[certified]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[sub menu - year option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[certified]</w:t>
      </w:r>
    </w:p>
    <w:p>
      <w:pPr>
        <w:pStyle w:val="NoSpacing"/>
        <w:ind w:left="360" w:hanging="0"/>
        <w:jc w:val="both"/>
        <w:rPr/>
      </w:pPr>
      <w:r>
        <w:rPr>
          <w:rFonts w:cs="Times New Roman" w:ascii="Times New Roman" w:hAnsi="Times New Roman"/>
          <w:sz w:val="26"/>
          <w:szCs w:val="26"/>
          <w:lang w:eastAsia="en-IN"/>
        </w:rPr>
        <w:t>[no sub menu is required]</w:t>
      </w:r>
    </w:p>
    <w:p>
      <w:pPr>
        <w:pStyle w:val="NoSpacing"/>
        <w:ind w:left="360" w:hanging="0"/>
        <w:jc w:val="both"/>
        <w:rPr/>
      </w:pPr>
      <w:r>
        <w:rPr>
          <w:rFonts w:cs="Times New Roman" w:ascii="Times New Roman" w:hAnsi="Times New Roman"/>
          <w:sz w:val="26"/>
          <w:szCs w:val="26"/>
          <w:lang w:eastAsia="en-IN"/>
        </w:rPr>
        <w:t>--select soc_name,job_title from h1b_final where job_title = “DATA ENGINEER”  and case_status = “certified”;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4)</w:t>
      </w:r>
      <w:r>
        <w:rPr>
          <w:rFonts w:cs="Times New Roman" w:ascii="Times New Roman" w:hAnsi="Times New Roman"/>
          <w:sz w:val="26"/>
          <w:szCs w:val="26"/>
          <w:lang w:eastAsia="en-IN"/>
        </w:rPr>
        <w:t>Which top 5 employers file the most petitions each year? - Case Status - 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[sub menu - year option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--select count(*) </w:t>
      </w:r>
      <w:r>
        <w:rPr>
          <w:rFonts w:cs="Times New Roman" w:ascii="Times New Roman" w:hAnsi="Times New Roman"/>
          <w:sz w:val="26"/>
          <w:szCs w:val="26"/>
          <w:lang w:eastAsia="en-IN"/>
        </w:rPr>
        <w:t>as top,employer_name from h1b_final where year = ‘2011’ group by employer_name order by top desc limit 5;</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[second sub menu - year option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bookmarkStart w:id="0" w:name="OLE_LINK4"/>
      <w:bookmarkStart w:id="1" w:name="OLE_LINK3"/>
      <w:bookmarkStart w:id="2" w:name="OLE_LINK2"/>
      <w:bookmarkStart w:id="3" w:name="OLE_LINK1"/>
      <w:bookmarkEnd w:id="0"/>
      <w:bookmarkEnd w:id="1"/>
      <w:bookmarkEnd w:id="2"/>
      <w:bookmarkEnd w:id="3"/>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[no sub menu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 [All]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[no sub menu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 - [Certified and Certified Withdrawn.] [Top 20 only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[first sub menu - full time OR part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[second sub menu - year option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1000 OR more than 1000) ? Display the values in descending order of success rate.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[no sub menu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10) </w:t>
      </w:r>
      <w:r>
        <w:rPr>
          <w:rFonts w:cs="Times New Roman" w:ascii="Times New Roman" w:hAnsi="Times New Roman"/>
          <w:sz w:val="26"/>
          <w:szCs w:val="26"/>
          <w:lang w:eastAsia="en-IN"/>
        </w:rPr>
        <w:t>Which are the  job positions along with the number of petitions which have the success rate more than 70%  in petitions (total petitions filed 1000 OR more than 1000)? Display the values in descending order of success rate.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[no sub menu is required]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b/>
          <w:b/>
          <w:color w:val="2B2B2B"/>
          <w:sz w:val="26"/>
          <w:szCs w:val="26"/>
          <w:lang w:eastAsia="en-IN"/>
        </w:rPr>
      </w:pPr>
      <w:r>
        <w:rPr>
          <w:rFonts w:eastAsia="Times New Roman" w:cs="Arial" w:ascii="Arial" w:hAnsi="Arial"/>
          <w:b/>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bookmarkStart w:id="4" w:name="__DdeLink__210_2076360781"/>
      <w:bookmarkStart w:id="5" w:name="OLE_LINK6"/>
      <w:bookmarkStart w:id="6" w:name="OLE_LINK5"/>
      <w:bookmarkEnd w:id="4"/>
      <w:bookmarkEnd w:id="5"/>
      <w:bookmarkEnd w:id="6"/>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bookmarkStart w:id="7" w:name="__DdeLink__210_2076360781"/>
      <w:bookmarkStart w:id="8" w:name="__DdeLink__210_2076360781"/>
      <w:bookmarkEnd w:id="8"/>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bidi w:val="0"/>
        <w:spacing w:lineRule="auto" w:line="276" w:before="0" w:after="200"/>
        <w:jc w:val="left"/>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Application>LibreOffice/5.1.6.2$Linux_X86_64 LibreOffice_project/10m0$Build-2</Application>
  <Pages>4</Pages>
  <Words>888</Words>
  <Characters>4555</Characters>
  <CharactersWithSpaces>5375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en-US</dc:language>
  <cp:lastModifiedBy/>
  <dcterms:modified xsi:type="dcterms:W3CDTF">2018-06-14T04:54:41Z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