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  <w:szCs w:val="28"/>
        </w:rPr>
        <w:t>02 июня 2025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Алексей Алексеев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>
        <w:rPr>
          <w:rFonts w:ascii="Times New Roman" w:hAnsi="Times New Roman" w:cs="Times New Roman"/>
          <w:sz w:val="28"/>
          <w:szCs w:val="28"/>
        </w:rPr>
        <w:t>ул.Мечникова, дом 64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>
        <w:rPr>
          <w:rFonts w:ascii="Times New Roman" w:hAnsi="Times New Roman" w:cs="Times New Roman"/>
          <w:sz w:val="28"/>
          <w:szCs w:val="28"/>
        </w:rPr>
        <w:t>5325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>
        <w:rPr>
          <w:rFonts w:ascii="Times New Roman" w:hAnsi="Times New Roman" w:cs="Times New Roman"/>
          <w:sz w:val="28"/>
          <w:szCs w:val="28"/>
        </w:rPr>
        <w:t>532934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УМВД РОССИИ ХАНТЫ-МАНСИЙСКОГО РАЙОНА...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