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A5F"/>
          <w:sz w:val="44"/>
        </w:rPr>
        <w:t>Shaqed Carasso, Ph.D.</w:t>
      </w:r>
    </w:p>
    <w:p>
      <w:pPr>
        <w:jc w:val="center"/>
      </w:pPr>
      <w:r>
        <w:rPr>
          <w:b w:val="0"/>
          <w:i w:val="0"/>
          <w:color w:val="555555"/>
          <w:sz w:val="21"/>
        </w:rPr>
        <w:t>Postdoctoral Associate · Xavier Lab · Broad Institute of MIT and Harvard</w:t>
      </w:r>
    </w:p>
    <w:p>
      <w:pPr>
        <w:spacing w:after="40"/>
        <w:jc w:val="center"/>
      </w:pPr>
      <w:r>
        <w:rPr>
          <w:b w:val="0"/>
          <w:i w:val="0"/>
          <w:sz w:val="19"/>
        </w:rPr>
        <w:t>scarasso@broadinstitute.org  ·  shaqasso.github.io  ·  linkedin.com/in/shaqed-carasso  ·  Google Scholar</w:t>
      </w:r>
    </w:p>
    <w:p>
      <w:pPr>
        <w:keepNext/>
        <w:spacing w:before="180" w:after="8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PROFILE</w:t>
      </w:r>
    </w:p>
    <w:p>
      <w:r>
        <w:rPr>
          <w:b w:val="0"/>
          <w:i w:val="0"/>
          <w:sz w:val="20"/>
        </w:rPr>
        <w:t xml:space="preserve">Computational and experimental microbiologist studying how gut bacteria, bacteriophages and the host interact. My PhD showed that reversible </w:t>
      </w:r>
      <w:r>
        <w:rPr>
          <w:b/>
          <w:i w:val="0"/>
          <w:sz w:val="20"/>
        </w:rPr>
        <w:t>DNA inversions (phase variation)</w:t>
      </w:r>
      <w:r>
        <w:rPr>
          <w:b w:val="0"/>
          <w:i w:val="0"/>
          <w:sz w:val="20"/>
        </w:rPr>
        <w:t xml:space="preserve"> in </w:t>
      </w:r>
      <w:r>
        <w:rPr>
          <w:b w:val="0"/>
          <w:i/>
          <w:sz w:val="20"/>
        </w:rPr>
        <w:t>Bacteroides</w:t>
      </w:r>
      <w:r>
        <w:rPr>
          <w:b w:val="0"/>
          <w:i w:val="0"/>
          <w:sz w:val="20"/>
        </w:rPr>
        <w:t xml:space="preserve"> reshape bacterial function, immune modulation and long-term phage co-existence (</w:t>
      </w:r>
      <w:r>
        <w:rPr>
          <w:b w:val="0"/>
          <w:i/>
          <w:sz w:val="20"/>
        </w:rPr>
        <w:t>Cell Host &amp; Microbe</w:t>
      </w:r>
      <w:r>
        <w:rPr>
          <w:b w:val="0"/>
          <w:i w:val="0"/>
          <w:sz w:val="20"/>
        </w:rPr>
        <w:t xml:space="preserve">, </w:t>
      </w:r>
      <w:r>
        <w:rPr>
          <w:b w:val="0"/>
          <w:i/>
          <w:sz w:val="20"/>
        </w:rPr>
        <w:t>Gut Microbes</w:t>
      </w:r>
      <w:r>
        <w:rPr>
          <w:b w:val="0"/>
          <w:i w:val="0"/>
          <w:sz w:val="20"/>
        </w:rPr>
        <w:t xml:space="preserve">, </w:t>
      </w:r>
      <w:r>
        <w:rPr>
          <w:b w:val="0"/>
          <w:i/>
          <w:sz w:val="20"/>
        </w:rPr>
        <w:t>Nature Communications</w:t>
      </w:r>
      <w:r>
        <w:rPr>
          <w:b w:val="0"/>
          <w:i w:val="0"/>
          <w:sz w:val="20"/>
        </w:rPr>
        <w:t>). Now extending this work to microbe–host interactions at the Broad Institute.</w:t>
      </w:r>
    </w:p>
    <w:p>
      <w:pPr>
        <w:keepNext/>
        <w:spacing w:before="180" w:after="8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RESEARCH INTERESTS</w:t>
      </w:r>
    </w:p>
    <w:p>
      <w:r>
        <w:rPr>
          <w:b w:val="0"/>
          <w:i w:val="0"/>
          <w:sz w:val="20"/>
        </w:rPr>
        <w:t>Gut microbiome · Bacterial genomics and phase variation · Phage–bacteria dynamics · Microbe–host interactions · Bioinformatics</w:t>
      </w:r>
    </w:p>
    <w:p>
      <w:pPr>
        <w:keepNext/>
        <w:spacing w:before="180" w:after="8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2021 – 2025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>Ph.D., Bioinformatics</w:t>
            </w:r>
            <w:r>
              <w:rPr>
                <w:b w:val="0"/>
                <w:i w:val="0"/>
                <w:color w:val="555555"/>
              </w:rPr>
              <w:t xml:space="preserve"> · Technion – Israel Institute of Technology, Haifa</w:t>
            </w:r>
          </w:p>
          <w:p>
            <w:r>
              <w:rPr>
                <w:b w:val="0"/>
                <w:i w:val="0"/>
                <w:sz w:val="19"/>
              </w:rPr>
              <w:t>Thesis: Phase Variations of the Bacteroides Genus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Advisors: Assoc. Prof. Naama Geva-Zatorsky (Technion); Dr. Itai Sharon (MIGAL Galilee Research Institute)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2018 – 2021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>M.Sc., Medical Sciences (Cum Laude)</w:t>
            </w:r>
            <w:r>
              <w:rPr>
                <w:b w:val="0"/>
                <w:i w:val="0"/>
                <w:color w:val="555555"/>
              </w:rPr>
              <w:t xml:space="preserve"> · Technion</w:t>
            </w:r>
          </w:p>
          <w:p>
            <w:r>
              <w:rPr>
                <w:b w:val="0"/>
                <w:i w:val="0"/>
                <w:sz w:val="19"/>
              </w:rPr>
              <w:t>Thesis: Fecal Microbiota Transplantation and Phage Therapy to Eradicate Antibiotic-Resistant Bacteria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Advisor: Assoc. Prof. Naama Geva-Zatorsky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2014 – 2018</w:t>
            </w:r>
          </w:p>
        </w:tc>
        <w:tc>
          <w:tcPr>
            <w:tcW w:type="dxa" w:w="8277"/>
          </w:tcPr>
          <w:p>
            <w:pPr>
              <w:spacing w:after="60"/>
            </w:pPr>
            <w:r>
              <w:rPr>
                <w:b/>
                <w:i w:val="0"/>
              </w:rPr>
              <w:t>B.Sc., Biology</w:t>
            </w:r>
            <w:r>
              <w:rPr>
                <w:b w:val="0"/>
                <w:i w:val="0"/>
                <w:color w:val="555555"/>
              </w:rPr>
              <w:t xml:space="preserve"> · Technion</w:t>
            </w:r>
          </w:p>
        </w:tc>
      </w:tr>
    </w:tbl>
    <w:p>
      <w:pPr>
        <w:keepNext/>
        <w:spacing w:before="180" w:after="8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POSITIONS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08/2025 – present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>Postdoctoral Associate</w:t>
            </w:r>
            <w:r>
              <w:rPr>
                <w:b w:val="0"/>
                <w:i w:val="0"/>
                <w:color w:val="555555"/>
              </w:rPr>
              <w:t xml:space="preserve"> · Broad Institute of MIT and Harvard, Cambridge, MA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Advisor: Prof. Ramnik Xavier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2018 – 2025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>Graduate Researcher</w:t>
            </w:r>
            <w:r>
              <w:rPr>
                <w:b w:val="0"/>
                <w:i w:val="0"/>
                <w:color w:val="555555"/>
              </w:rPr>
              <w:t xml:space="preserve"> · Technion, Haifa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Geva-Zatorsky Lab, Technion (M.Sc. and Ph.D.)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10/2021 – 03/2025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>Teaching Assistant</w:t>
            </w:r>
            <w:r>
              <w:rPr>
                <w:b w:val="0"/>
                <w:i w:val="0"/>
                <w:color w:val="555555"/>
              </w:rPr>
              <w:t xml:space="preserve"> · Technion, Haifa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Medical Bacteriology Laboratory, undergraduate medical school course</w:t>
            </w:r>
          </w:p>
        </w:tc>
      </w:tr>
    </w:tbl>
    <w:p>
      <w:pPr>
        <w:keepNext/>
        <w:spacing w:before="180" w:after="8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PUBLICATIONS</w:t>
      </w:r>
    </w:p>
    <w:p>
      <w:pPr>
        <w:keepNext/>
        <w:spacing w:before="80" w:after="40"/>
      </w:pPr>
      <w:r>
        <w:rPr>
          <w:b/>
          <w:i w:val="0"/>
          <w:color w:val="555555"/>
          <w:sz w:val="19"/>
        </w:rPr>
        <w:t>Journal articles   († equal contribution)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14.</w:t>
        <w:tab/>
      </w:r>
      <w:r>
        <w:rPr>
          <w:b w:val="0"/>
          <w:i w:val="0"/>
          <w:sz w:val="19"/>
        </w:rPr>
        <w:t xml:space="preserve">Ohayon C, Gross N, Capucha T, 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Shkedy Y, Rachmiel A, Emodi O. Efficiency and outcomes in microvascular anastomosis: a meta-analysis of mechanical versus manual techniques. </w:t>
      </w:r>
      <w:r>
        <w:rPr>
          <w:b w:val="0"/>
          <w:i/>
          <w:sz w:val="19"/>
        </w:rPr>
        <w:t>J Cranio-Maxillofac Surg</w:t>
      </w:r>
      <w:r>
        <w:rPr>
          <w:b w:val="0"/>
          <w:i w:val="0"/>
          <w:sz w:val="19"/>
        </w:rPr>
        <w:t>. 2025.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13.</w:t>
        <w:tab/>
      </w:r>
      <w:r>
        <w:rPr>
          <w:b w:val="0"/>
          <w:i w:val="0"/>
          <w:sz w:val="19"/>
        </w:rPr>
        <w:t xml:space="preserve">Ohayon C, Ritschl LM, Capucha T, 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Fichter AM, Gross N, Rachmiel A, Wolff KD, Emodi O. The never-ending story: single versus dual venous anastomoses in microsurgical radial forearm free flap for head and neck reconstruction. </w:t>
      </w:r>
      <w:r>
        <w:rPr>
          <w:b w:val="0"/>
          <w:i/>
          <w:sz w:val="19"/>
        </w:rPr>
        <w:t>J Cranio-Maxillofac Surg</w:t>
      </w:r>
      <w:r>
        <w:rPr>
          <w:b w:val="0"/>
          <w:i w:val="0"/>
          <w:sz w:val="19"/>
        </w:rPr>
        <w:t>. 2025.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12.</w:t>
        <w:tab/>
      </w:r>
      <w:r>
        <w:rPr>
          <w:b w:val="0"/>
          <w:i w:val="0"/>
          <w:sz w:val="19"/>
        </w:rPr>
        <w:t>†Naddaf R, †Shmilovich H, †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Keshet-David R, Herren R, Gefen T, et al. Esophageal microbiome correlates with post-esophagectomy anastomotic leak in cancer patients. </w:t>
      </w:r>
      <w:r>
        <w:rPr>
          <w:b w:val="0"/>
          <w:i/>
          <w:sz w:val="19"/>
        </w:rPr>
        <w:t>ESMO Gastrointest Oncol</w:t>
      </w:r>
      <w:r>
        <w:rPr>
          <w:b w:val="0"/>
          <w:i w:val="0"/>
          <w:sz w:val="19"/>
        </w:rPr>
        <w:t>. 2025.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11.</w:t>
        <w:tab/>
      </w:r>
      <w:r>
        <w:rPr>
          <w:b w:val="0"/>
          <w:i w:val="0"/>
          <w:sz w:val="19"/>
        </w:rPr>
        <w:t xml:space="preserve">Gal-Mandelbaum N, 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Kedem A, Ziv T, Keshet-David R, Abboud R, et al. Dietary carbohydrates alter immune-modulatory functionalities and DNA inversions in </w:t>
      </w:r>
      <w:r>
        <w:rPr>
          <w:b w:val="0"/>
          <w:i/>
          <w:sz w:val="19"/>
        </w:rPr>
        <w:t>Bacteroides thetaiotaomicron</w:t>
      </w:r>
      <w:r>
        <w:rPr>
          <w:b w:val="0"/>
          <w:i w:val="0"/>
          <w:sz w:val="19"/>
        </w:rPr>
        <w:t xml:space="preserve">. </w:t>
      </w:r>
      <w:r>
        <w:rPr>
          <w:b w:val="0"/>
          <w:i/>
          <w:sz w:val="19"/>
        </w:rPr>
        <w:t>Nat Commun</w:t>
      </w:r>
      <w:r>
        <w:rPr>
          <w:b w:val="0"/>
          <w:i w:val="0"/>
          <w:sz w:val="19"/>
        </w:rPr>
        <w:t>. 2025.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10.</w:t>
        <w:tab/>
      </w:r>
      <w:r>
        <w:rPr>
          <w:b w:val="0"/>
          <w:i w:val="0"/>
          <w:sz w:val="19"/>
        </w:rPr>
        <w:t>†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†Keshet-David R, Zhang J, Hajjo H, Kadosh-Kariti D, Gefen T, et al. Bacteriophage-driven DNA inversions shape bacterial functionality and long-term co-existence in </w:t>
      </w:r>
      <w:r>
        <w:rPr>
          <w:b w:val="0"/>
          <w:i/>
          <w:sz w:val="19"/>
        </w:rPr>
        <w:t>Bacteroides fragilis</w:t>
      </w:r>
      <w:r>
        <w:rPr>
          <w:b w:val="0"/>
          <w:i w:val="0"/>
          <w:sz w:val="19"/>
        </w:rPr>
        <w:t xml:space="preserve">. </w:t>
      </w:r>
      <w:r>
        <w:rPr>
          <w:b w:val="0"/>
          <w:i/>
          <w:sz w:val="19"/>
        </w:rPr>
        <w:t>Gut Microbes</w:t>
      </w:r>
      <w:r>
        <w:rPr>
          <w:b w:val="0"/>
          <w:i w:val="0"/>
          <w:sz w:val="19"/>
        </w:rPr>
        <w:t>. 2025.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9.</w:t>
        <w:tab/>
      </w:r>
      <w:r>
        <w:rPr>
          <w:b w:val="0"/>
          <w:i w:val="0"/>
          <w:sz w:val="19"/>
        </w:rPr>
        <w:t>†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†Zaatry R, †Hajjo H, †Kadosh-Kariti D, Ben-Assa N, Naddaf R, et al. Inflammation and bacteriophages affect DNA inversion states and functionality of the gut microbiota. </w:t>
      </w:r>
      <w:r>
        <w:rPr>
          <w:b w:val="0"/>
          <w:i/>
          <w:sz w:val="19"/>
        </w:rPr>
        <w:t>Cell Host Microbe</w:t>
      </w:r>
      <w:r>
        <w:rPr>
          <w:b w:val="0"/>
          <w:i w:val="0"/>
          <w:sz w:val="19"/>
        </w:rPr>
        <w:t>. 2024.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8.</w:t>
        <w:tab/>
      </w:r>
      <w:r>
        <w:rPr>
          <w:b w:val="0"/>
          <w:i w:val="0"/>
          <w:sz w:val="19"/>
        </w:rPr>
        <w:t>†Naddaf R, †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Reznick-Levi G, Hasnis E, Qarawani A, Maza I, et al. Gut microbial signatures are associated with Lynch syndrome and cancer history in Druze communities in Israel. </w:t>
      </w:r>
      <w:r>
        <w:rPr>
          <w:b w:val="0"/>
          <w:i/>
          <w:sz w:val="19"/>
        </w:rPr>
        <w:t>Sci Rep</w:t>
      </w:r>
      <w:r>
        <w:rPr>
          <w:b w:val="0"/>
          <w:i w:val="0"/>
          <w:sz w:val="19"/>
        </w:rPr>
        <w:t>. 2023.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7.</w:t>
        <w:tab/>
      </w:r>
      <w:r>
        <w:rPr>
          <w:b w:val="0"/>
          <w:i w:val="0"/>
          <w:sz w:val="19"/>
        </w:rPr>
        <w:t xml:space="preserve">Mandelbaum N, Zhang L, 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Ziv T, Lifshiz-Simon S, Davidovich I, et al. Extracellular vesicles of the Gram-positive gut symbiont </w:t>
      </w:r>
      <w:r>
        <w:rPr>
          <w:b w:val="0"/>
          <w:i/>
          <w:sz w:val="19"/>
        </w:rPr>
        <w:t>Bifidobacterium longum</w:t>
      </w:r>
      <w:r>
        <w:rPr>
          <w:b w:val="0"/>
          <w:i w:val="0"/>
          <w:sz w:val="19"/>
        </w:rPr>
        <w:t xml:space="preserve"> induce immune-modulatory, anti-inflammatory effects. </w:t>
      </w:r>
      <w:r>
        <w:rPr>
          <w:b w:val="0"/>
          <w:i/>
          <w:sz w:val="19"/>
        </w:rPr>
        <w:t>npj Biofilms Microbiomes</w:t>
      </w:r>
      <w:r>
        <w:rPr>
          <w:b w:val="0"/>
          <w:i w:val="0"/>
          <w:sz w:val="19"/>
        </w:rPr>
        <w:t>. 2023.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6.</w:t>
        <w:tab/>
      </w:r>
      <w:r>
        <w:rPr>
          <w:b w:val="0"/>
          <w:i w:val="0"/>
          <w:sz w:val="19"/>
        </w:rPr>
        <w:t>†Mudrik-Zohar H, †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Gefen T, Zalmanovich A, Katzir M, Cohen Y, et al. Microbiome characterization of infected diabetic foot ulcers in association with clinical outcomes: traditional cultures versus molecular sequencing methods. </w:t>
      </w:r>
      <w:r>
        <w:rPr>
          <w:b w:val="0"/>
          <w:i/>
          <w:sz w:val="19"/>
        </w:rPr>
        <w:t>Front Cell Infect Microbiol</w:t>
      </w:r>
      <w:r>
        <w:rPr>
          <w:b w:val="0"/>
          <w:i w:val="0"/>
          <w:sz w:val="19"/>
        </w:rPr>
        <w:t>. 2022.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5.</w:t>
        <w:tab/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Fishman B, Lask LS, Shochat T, Geva-Zatorsky N, Tauber E. Metagenomic analysis reveals the signature of gut microbiota associated with human chronotypes. </w:t>
      </w:r>
      <w:r>
        <w:rPr>
          <w:b w:val="0"/>
          <w:i/>
          <w:sz w:val="19"/>
        </w:rPr>
        <w:t>FASEB J</w:t>
      </w:r>
      <w:r>
        <w:rPr>
          <w:b w:val="0"/>
          <w:i w:val="0"/>
          <w:sz w:val="19"/>
        </w:rPr>
        <w:t>. 2021.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4.</w:t>
        <w:tab/>
      </w:r>
      <w:r>
        <w:rPr>
          <w:b w:val="0"/>
          <w:i w:val="0"/>
          <w:sz w:val="19"/>
        </w:rPr>
        <w:t xml:space="preserve">Marai I, Carasso D, 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Carasso S. The mechanical cost of decreasing conduction velocity: a mathematical model of pacing-induced lower strain. </w:t>
      </w:r>
      <w:r>
        <w:rPr>
          <w:b w:val="0"/>
          <w:i/>
          <w:sz w:val="19"/>
        </w:rPr>
        <w:t>J Atr Fibrillation</w:t>
      </w:r>
      <w:r>
        <w:rPr>
          <w:b w:val="0"/>
          <w:i w:val="0"/>
          <w:sz w:val="19"/>
        </w:rPr>
        <w:t>. 2021.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3.</w:t>
        <w:tab/>
      </w:r>
      <w:r>
        <w:rPr>
          <w:b w:val="0"/>
          <w:i w:val="0"/>
          <w:sz w:val="19"/>
        </w:rPr>
        <w:t xml:space="preserve">Berkowitz E, Kopelman Y, Kadosh D, 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Tiosano B, Kesler A, Geva-Zatorsky N. "More guts than brains?" The role of gut microbiota in idiopathic intracranial hypertension. </w:t>
      </w:r>
      <w:r>
        <w:rPr>
          <w:b w:val="0"/>
          <w:i/>
          <w:sz w:val="19"/>
        </w:rPr>
        <w:t>J Neuroophthalmol</w:t>
      </w:r>
      <w:r>
        <w:rPr>
          <w:b w:val="0"/>
          <w:i w:val="0"/>
          <w:sz w:val="19"/>
        </w:rPr>
        <w:t>. 2021.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2.</w:t>
        <w:tab/>
      </w:r>
      <w:r>
        <w:rPr>
          <w:b w:val="0"/>
          <w:i w:val="0"/>
          <w:sz w:val="19"/>
        </w:rPr>
        <w:t>†Bar-Yoseph H, †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Shklar S, Korytny A, Even Dar R, Daoud H, et al. Oral capsulized fecal microbiota transplantation for eradication of carbapenemase-producing Enterobacteriaceae colonization with a metagenomic perspective. </w:t>
      </w:r>
      <w:r>
        <w:rPr>
          <w:b w:val="0"/>
          <w:i/>
          <w:sz w:val="19"/>
        </w:rPr>
        <w:t>Clin Infect Dis</w:t>
      </w:r>
      <w:r>
        <w:rPr>
          <w:b w:val="0"/>
          <w:i w:val="0"/>
          <w:sz w:val="19"/>
        </w:rPr>
        <w:t>. 2020.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1.</w:t>
        <w:tab/>
      </w:r>
      <w:r>
        <w:rPr>
          <w:b w:val="0"/>
          <w:i w:val="0"/>
          <w:sz w:val="19"/>
        </w:rPr>
        <w:t xml:space="preserve">Ben-Assa N, Coyne MJ, Fomenkov A, Livny J, Robins WP, Muniesa M, Carey V, 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et al. Analysis of a phase-variable restriction modification system of the human gut symbiont </w:t>
      </w:r>
      <w:r>
        <w:rPr>
          <w:b w:val="0"/>
          <w:i/>
          <w:sz w:val="19"/>
        </w:rPr>
        <w:t>Bacteroides fragilis</w:t>
      </w:r>
      <w:r>
        <w:rPr>
          <w:b w:val="0"/>
          <w:i w:val="0"/>
          <w:sz w:val="19"/>
        </w:rPr>
        <w:t xml:space="preserve">. </w:t>
      </w:r>
      <w:r>
        <w:rPr>
          <w:b w:val="0"/>
          <w:i/>
          <w:sz w:val="19"/>
        </w:rPr>
        <w:t>Nucleic Acids Res</w:t>
      </w:r>
      <w:r>
        <w:rPr>
          <w:b w:val="0"/>
          <w:i w:val="0"/>
          <w:sz w:val="19"/>
        </w:rPr>
        <w:t>. 2020.</w:t>
      </w:r>
    </w:p>
    <w:p>
      <w:pPr>
        <w:keepNext/>
        <w:spacing w:before="80" w:after="40"/>
      </w:pPr>
      <w:r>
        <w:rPr>
          <w:b/>
          <w:i w:val="0"/>
          <w:color w:val="555555"/>
          <w:sz w:val="19"/>
        </w:rPr>
        <w:t>Preview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P1.</w:t>
        <w:tab/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 xml:space="preserve">, Hajjo H, Geva-Zatorsky N. Phage-bacteria associations: analyze, match, develop therapies. </w:t>
      </w:r>
      <w:r>
        <w:rPr>
          <w:b w:val="0"/>
          <w:i/>
          <w:sz w:val="19"/>
        </w:rPr>
        <w:t>Cell Host Microbe</w:t>
      </w:r>
      <w:r>
        <w:rPr>
          <w:b w:val="0"/>
          <w:i w:val="0"/>
          <w:sz w:val="19"/>
        </w:rPr>
        <w:t>. 2020.</w:t>
      </w:r>
    </w:p>
    <w:p>
      <w:pPr>
        <w:keepNext/>
        <w:spacing w:before="80" w:after="40"/>
      </w:pPr>
      <w:r>
        <w:rPr>
          <w:b/>
          <w:i w:val="0"/>
          <w:color w:val="555555"/>
          <w:sz w:val="19"/>
        </w:rPr>
        <w:t>Patent applications (pending)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1.</w:t>
        <w:tab/>
      </w:r>
      <w:r>
        <w:rPr>
          <w:b w:val="0"/>
          <w:i w:val="0"/>
          <w:sz w:val="19"/>
        </w:rPr>
        <w:t xml:space="preserve">Geva-Zatorsky N, 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>, Gefen T, Keshet R, Hajjo H, Zaatry R, Sharon I. Reversible bacterial phase-variations and uses thereof in diagnostic and therapeutic applications. WO2024176230A1, 2024.</w:t>
      </w:r>
    </w:p>
    <w:p>
      <w:pPr>
        <w:tabs>
          <w:tab w:pos="510" w:val="left"/>
        </w:tabs>
        <w:spacing w:after="60"/>
        <w:ind w:left="510" w:hanging="510"/>
      </w:pPr>
      <w:r>
        <w:rPr>
          <w:b w:val="0"/>
          <w:i w:val="0"/>
          <w:color w:val="555555"/>
          <w:sz w:val="19"/>
        </w:rPr>
        <w:t>2.</w:t>
        <w:tab/>
      </w:r>
      <w:r>
        <w:rPr>
          <w:b w:val="0"/>
          <w:i w:val="0"/>
          <w:sz w:val="19"/>
        </w:rPr>
        <w:t xml:space="preserve">Geva-Zatorsky N, Gefen T, Kariti D, Ben-Assa N, Abboud R, </w:t>
      </w:r>
      <w:r>
        <w:rPr>
          <w:b/>
          <w:i w:val="0"/>
          <w:sz w:val="19"/>
        </w:rPr>
        <w:t>Carasso S</w:t>
      </w:r>
      <w:r>
        <w:rPr>
          <w:b w:val="0"/>
          <w:i w:val="0"/>
          <w:sz w:val="19"/>
        </w:rPr>
        <w:t>, Zaatry R. Bacteriophages as a tool to manipulate gut commensal immune-modulation activity. WO2024194876A1, 2024.</w:t>
      </w:r>
    </w:p>
    <w:p>
      <w:pPr>
        <w:keepNext/>
        <w:spacing w:before="180" w:after="8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AWARDS AND HONORS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2025</w:t>
            </w:r>
          </w:p>
        </w:tc>
        <w:tc>
          <w:tcPr>
            <w:tcW w:type="dxa" w:w="8277"/>
          </w:tcPr>
          <w:p>
            <w:pPr>
              <w:spacing w:after="60"/>
            </w:pPr>
            <w:r>
              <w:rPr>
                <w:b/>
                <w:i w:val="0"/>
              </w:rPr>
              <w:t>Best Lecture Award, Technion Faculty of Medicine Graduate Research Day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2024</w:t>
            </w:r>
          </w:p>
        </w:tc>
        <w:tc>
          <w:tcPr>
            <w:tcW w:type="dxa" w:w="8277"/>
          </w:tcPr>
          <w:p>
            <w:pPr>
              <w:spacing w:after="60"/>
            </w:pPr>
            <w:r>
              <w:rPr>
                <w:b/>
                <w:i w:val="0"/>
              </w:rPr>
              <w:t>Jacobs Award for an Excellent Publication (Technion)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2024</w:t>
            </w:r>
          </w:p>
        </w:tc>
        <w:tc>
          <w:tcPr>
            <w:tcW w:type="dxa" w:w="8277"/>
          </w:tcPr>
          <w:p>
            <w:pPr>
              <w:spacing w:after="60"/>
            </w:pPr>
            <w:r>
              <w:rPr>
                <w:b/>
                <w:i w:val="0"/>
              </w:rPr>
              <w:t>Best Poster Award, Technion Faculty of Medicine Graduate Research Day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2023</w:t>
            </w:r>
          </w:p>
        </w:tc>
        <w:tc>
          <w:tcPr>
            <w:tcW w:type="dxa" w:w="8277"/>
          </w:tcPr>
          <w:p>
            <w:pPr>
              <w:spacing w:after="60"/>
            </w:pPr>
            <w:r>
              <w:rPr>
                <w:b/>
                <w:i w:val="0"/>
              </w:rPr>
              <w:t>Gutwirth Excellence Scholarship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2022</w:t>
            </w:r>
          </w:p>
        </w:tc>
        <w:tc>
          <w:tcPr>
            <w:tcW w:type="dxa" w:w="8277"/>
          </w:tcPr>
          <w:p>
            <w:pPr>
              <w:spacing w:after="60"/>
            </w:pPr>
            <w:r>
              <w:rPr>
                <w:b/>
                <w:i w:val="0"/>
              </w:rPr>
              <w:t>Teva BioInnovation Student Fellowship &amp; Mentorship Program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2020 – 2024</w:t>
            </w:r>
          </w:p>
        </w:tc>
        <w:tc>
          <w:tcPr>
            <w:tcW w:type="dxa" w:w="8277"/>
          </w:tcPr>
          <w:p>
            <w:pPr>
              <w:spacing w:after="60"/>
            </w:pPr>
            <w:r>
              <w:rPr>
                <w:b/>
                <w:i w:val="0"/>
              </w:rPr>
              <w:t>Faculty of Medicine Excellence Scholarship for Graduate Students (five semesters)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2017 – 2018</w:t>
            </w:r>
          </w:p>
        </w:tc>
        <w:tc>
          <w:tcPr>
            <w:tcW w:type="dxa" w:w="8277"/>
          </w:tcPr>
          <w:p>
            <w:pPr>
              <w:spacing w:after="60"/>
            </w:pPr>
            <w:r>
              <w:rPr>
                <w:b/>
                <w:i w:val="0"/>
              </w:rPr>
              <w:t>Outstanding Bachelor Student Award and Dean's List (three semesters), Faculty of Biology</w:t>
            </w:r>
          </w:p>
        </w:tc>
      </w:tr>
    </w:tbl>
    <w:p>
      <w:pPr>
        <w:keepNext/>
        <w:spacing w:before="180" w:after="80"/>
        <w:pBdr>
          <w:bottom w:val="single" w:sz="6" w:space="1" w:color="1F3A5F"/>
        </w:pBdr>
      </w:pPr>
      <w:r>
        <w:rPr>
          <w:b/>
          <w:i w:val="0"/>
          <w:color w:val="1F3A5F"/>
          <w:sz w:val="22"/>
        </w:rPr>
        <w:t>CONFERENCE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2024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>"Bacterial DNA inversions and functional plasticity during inflammation and encounter with bacteriophages"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Israel Society for Microbiology Annual Meeting, Ramat Gan, Israel (poster)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2024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 xml:space="preserve">"Long-term impact: bacteriophage-driven DNA inversions shape </w:t>
            </w:r>
            <w:r>
              <w:rPr>
                <w:b/>
                <w:i/>
              </w:rPr>
              <w:t>Bacteroides fragilis</w:t>
            </w:r>
            <w:r>
              <w:rPr>
                <w:b/>
                <w:i w:val="0"/>
              </w:rPr>
              <w:t xml:space="preserve"> functionality"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10th International Human Microbiome Consortium Congress, Rome, Italy (short talk)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2024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>"Bacterial DNA inversions and functional plasticity during inflammation and encounter with bacteriophages"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Jacobs Graduate Research Day, Technion, Haifa, Israel (poster)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2023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>"Bacterial DNA inversions and functional plasticity during inflammation and encounter with bacteriophages"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EMBL Symposium: The Human Microbiome, Heidelberg, Germany (talk)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2023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>"Inflammation and bacteriophages affect DNA inversion states and functionality of the gut microbiota"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10th Annual Broad-ISF Symposium, Jerusalem, Israel (poster)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8277"/>
      </w:tblGrid>
      <w:tr>
        <w:trPr>
          <w:cantSplit/>
        </w:trPr>
        <w:tc>
          <w:tcPr>
            <w:tcW w:type="dxa" w:w="1871"/>
          </w:tcPr>
          <w:p>
            <w:r>
              <w:rPr>
                <w:b w:val="0"/>
                <w:i w:val="0"/>
                <w:color w:val="555555"/>
                <w:sz w:val="19"/>
              </w:rPr>
              <w:t>2023</w:t>
            </w:r>
          </w:p>
        </w:tc>
        <w:tc>
          <w:tcPr>
            <w:tcW w:type="dxa" w:w="8277"/>
          </w:tcPr>
          <w:p>
            <w:r>
              <w:rPr>
                <w:b/>
                <w:i w:val="0"/>
              </w:rPr>
              <w:t xml:space="preserve">"Gut </w:t>
            </w:r>
            <w:r>
              <w:rPr>
                <w:b/>
                <w:i/>
              </w:rPr>
              <w:t>Bacteroides</w:t>
            </w:r>
            <w:r>
              <w:rPr>
                <w:b/>
                <w:i w:val="0"/>
              </w:rPr>
              <w:t xml:space="preserve"> exhibit genomic phase variations under inflammatory conditions"</w:t>
            </w:r>
          </w:p>
          <w:p>
            <w:pPr>
              <w:spacing w:after="60"/>
            </w:pPr>
            <w:r>
              <w:rPr>
                <w:b w:val="0"/>
                <w:i w:val="0"/>
                <w:sz w:val="19"/>
              </w:rPr>
              <w:t>ILANIT | FISEB Experimental Biology Conference, Eilat, Israel (talk)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5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555555"/>
        <w:sz w:val="16"/>
      </w:rPr>
      <w:t>Shaqed Carasso · CV · Last updated October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