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44"/>
        </w:rPr>
        <w:t>Shaqed Carasso, Ph.D.</w:t>
      </w:r>
    </w:p>
    <w:p>
      <w:pPr>
        <w:jc w:val="center"/>
      </w:pPr>
      <w:r>
        <w:rPr>
          <w:b w:val="0"/>
          <w:i w:val="0"/>
          <w:color w:val="555555"/>
          <w:sz w:val="21"/>
        </w:rPr>
        <w:t>Postdoctoral Associate · Xavier Lab · Broad Institute of MIT and Harvard</w:t>
      </w:r>
    </w:p>
    <w:p>
      <w:pPr>
        <w:spacing w:after="40"/>
        <w:jc w:val="center"/>
      </w:pPr>
      <w:r>
        <w:rPr>
          <w:b w:val="0"/>
          <w:i w:val="0"/>
          <w:sz w:val="19"/>
        </w:rPr>
        <w:t>scarasso@broadinstitute.org</w:t>
      </w:r>
    </w:p>
    <w:p>
      <w:pPr>
        <w:keepNext/>
        <w:spacing w:before="180" w:after="8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PROFILE</w:t>
      </w:r>
    </w:p>
    <w:p>
      <w:r>
        <w:rPr>
          <w:b w:val="0"/>
          <w:i w:val="0"/>
          <w:sz w:val="20"/>
        </w:rPr>
        <w:t xml:space="preserve">I study how gut bacteria, their bacteriophages and the human host shape one another, combining metagenomic and genomic analysis with in vitro and mouse-model experiments. My PhD showed that reversible DNA inversions (phase variation) in </w:t>
      </w:r>
      <w:r>
        <w:rPr>
          <w:b w:val="0"/>
          <w:i/>
          <w:sz w:val="20"/>
        </w:rPr>
        <w:t>Bacteroides</w:t>
      </w:r>
      <w:r>
        <w:rPr>
          <w:b w:val="0"/>
          <w:i w:val="0"/>
          <w:sz w:val="20"/>
        </w:rPr>
        <w:t xml:space="preserve"> reshape bacterial function, immune modulation and long-term phage co-existence, in work published in Cell Host &amp; Microbe, Gut Microbes and Nature Communications. At the Broad Institute I am extending this work from microbe–phage dynamics to microbe–host interactions. I have authored 17 peer-reviewed articles, 9 of them as first or co-first author.</w:t>
      </w:r>
    </w:p>
    <w:p>
      <w:pPr>
        <w:keepNext/>
        <w:spacing w:before="180" w:after="8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RESEARCH INTERESTS</w:t>
      </w:r>
    </w:p>
    <w:p>
      <w:r>
        <w:rPr>
          <w:b w:val="0"/>
          <w:i w:val="0"/>
          <w:sz w:val="20"/>
        </w:rPr>
        <w:t>Gut microbiome · Bacterial genomics and phase variation · Phage–bacteria dynamics · Microbe–host interactions · Bioinformatics</w:t>
      </w:r>
    </w:p>
    <w:p>
      <w:pPr>
        <w:keepNext/>
        <w:spacing w:before="180" w:after="8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2021–2025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>Ph.D., Bioinformatics</w:t>
            </w:r>
            <w:r>
              <w:rPr>
                <w:b w:val="0"/>
                <w:i w:val="0"/>
                <w:color w:val="555555"/>
              </w:rPr>
              <w:t xml:space="preserve"> · Technion – Israel Institute of Technology, Haifa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 xml:space="preserve">Thesis: </w:t>
            </w:r>
            <w:r>
              <w:rPr>
                <w:b w:val="0"/>
                <w:i/>
                <w:sz w:val="19"/>
              </w:rPr>
              <w:t>Phase Variations of the Bacteroides Genus</w:t>
            </w:r>
            <w:r>
              <w:rPr>
                <w:b w:val="0"/>
                <w:i w:val="0"/>
                <w:sz w:val="19"/>
              </w:rPr>
              <w:t>. Advisors: Assoc. Prof. Naama Geva-Zatorsky (Technion) and Dr. Itai Sharon (MIGAL Galilee Research Institute).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2018–2021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>M.Sc., Medical Sciences (cum laude)</w:t>
            </w:r>
            <w:r>
              <w:rPr>
                <w:b w:val="0"/>
                <w:i w:val="0"/>
                <w:color w:val="555555"/>
              </w:rPr>
              <w:t xml:space="preserve"> · Technion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 xml:space="preserve">Thesis: </w:t>
            </w:r>
            <w:r>
              <w:rPr>
                <w:b w:val="0"/>
                <w:i/>
                <w:sz w:val="19"/>
              </w:rPr>
              <w:t>Fecal Microbiota Transplantation and Phage Therapy to Eradicate Antibiotic-Resistant Bacteria</w:t>
            </w:r>
            <w:r>
              <w:rPr>
                <w:b w:val="0"/>
                <w:i w:val="0"/>
                <w:sz w:val="19"/>
              </w:rPr>
              <w:t>. Advisor: Assoc. Prof. Naama Geva-Zatorsky.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2014–2018</w:t>
            </w:r>
          </w:p>
        </w:tc>
        <w:tc>
          <w:tcPr>
            <w:tcW w:type="dxa" w:w="8277"/>
          </w:tcPr>
          <w:p>
            <w:pPr>
              <w:spacing w:after="60"/>
            </w:pPr>
            <w:r>
              <w:rPr>
                <w:b/>
                <w:i w:val="0"/>
              </w:rPr>
              <w:t>B.Sc., Biology</w:t>
            </w:r>
            <w:r>
              <w:rPr>
                <w:b w:val="0"/>
                <w:i w:val="0"/>
                <w:color w:val="555555"/>
              </w:rPr>
              <w:t xml:space="preserve"> · Technion</w:t>
            </w:r>
          </w:p>
        </w:tc>
      </w:tr>
    </w:tbl>
    <w:p>
      <w:pPr>
        <w:keepNext/>
        <w:spacing w:before="180" w:after="8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POSITIONS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08/2025–present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>Postdoctoral Associate</w:t>
            </w:r>
            <w:r>
              <w:rPr>
                <w:b w:val="0"/>
                <w:i w:val="0"/>
                <w:color w:val="555555"/>
              </w:rPr>
              <w:t xml:space="preserve"> · Broad Institute of MIT and Harvard, Cambridge, MA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>Advisor: Prof. Ramnik Xavier.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10/2021–03/2025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>Teaching Assistant</w:t>
            </w:r>
            <w:r>
              <w:rPr>
                <w:b w:val="0"/>
                <w:i w:val="0"/>
                <w:color w:val="555555"/>
              </w:rPr>
              <w:t xml:space="preserve"> · Medical Bacteriology Laboratory, Technion, Haifa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>Undergraduate medical school course.</w:t>
            </w:r>
          </w:p>
        </w:tc>
      </w:tr>
    </w:tbl>
    <w:p>
      <w:pPr>
        <w:keepNext/>
        <w:spacing w:before="180" w:after="8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PUBLICATIONS</w:t>
      </w:r>
    </w:p>
    <w:p>
      <w:pPr>
        <w:keepNext/>
        <w:spacing w:before="80" w:after="40"/>
      </w:pPr>
      <w:r>
        <w:rPr>
          <w:b/>
          <w:i w:val="0"/>
          <w:color w:val="555555"/>
          <w:sz w:val="19"/>
        </w:rPr>
        <w:t>Phase variation, phages and microbe–host interactions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1.</w:t>
        <w:tab/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Kasher-Dvora M, Gefen T, Geva-Zatorsky N. Phase variation-mediated bacterial functional plasticity as a lens for understanding microbe–host interactions. </w:t>
      </w:r>
      <w:r>
        <w:rPr>
          <w:b w:val="0"/>
          <w:i/>
          <w:sz w:val="19"/>
        </w:rPr>
        <w:t>Gut Microbes.</w:t>
      </w:r>
      <w:r>
        <w:rPr>
          <w:b w:val="0"/>
          <w:i w:val="0"/>
          <w:sz w:val="19"/>
        </w:rPr>
        <w:t xml:space="preserve"> 2026;18(1):2687913.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2.</w:t>
        <w:tab/>
      </w:r>
      <w:r>
        <w:rPr>
          <w:b w:val="0"/>
          <w:i w:val="0"/>
          <w:sz w:val="19"/>
        </w:rPr>
        <w:t xml:space="preserve">Gal-Mandelbaum N,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Kedem A, Ziv T, Keshet-David R, Abboud R, Zaatry R, Gefen T, Geva-Zatorsky N. Dietary carbohydrates alter immune-modulatory functionalities and DNA inversions in </w:t>
      </w:r>
      <w:r>
        <w:rPr>
          <w:b w:val="0"/>
          <w:i/>
          <w:sz w:val="19"/>
        </w:rPr>
        <w:t>Bacteroides thetaiotaomicron</w:t>
      </w:r>
      <w:r>
        <w:rPr>
          <w:b w:val="0"/>
          <w:i w:val="0"/>
          <w:sz w:val="19"/>
        </w:rPr>
        <w:t xml:space="preserve">. </w:t>
      </w:r>
      <w:r>
        <w:rPr>
          <w:b w:val="0"/>
          <w:i/>
          <w:sz w:val="19"/>
        </w:rPr>
        <w:t>Nat Commun.</w:t>
      </w:r>
      <w:r>
        <w:rPr>
          <w:b w:val="0"/>
          <w:i w:val="0"/>
          <w:sz w:val="19"/>
        </w:rPr>
        <w:t xml:space="preserve"> 2025;16:4938.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3.</w:t>
        <w:tab/>
      </w:r>
      <w:r>
        <w:rPr>
          <w:b w:val="0"/>
          <w:i w:val="0"/>
          <w:sz w:val="19"/>
        </w:rPr>
        <w:t>†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†Keshet-David R, Zhang J, Hajjo H, Kadosh-Kariti D, Gefen T, Geva-Zatorsky N. Bacteriophage-driven DNA inversions shape bacterial functionality and long-term co-existence in </w:t>
      </w:r>
      <w:r>
        <w:rPr>
          <w:b w:val="0"/>
          <w:i/>
          <w:sz w:val="19"/>
        </w:rPr>
        <w:t>Bacteroides fragilis</w:t>
      </w:r>
      <w:r>
        <w:rPr>
          <w:b w:val="0"/>
          <w:i w:val="0"/>
          <w:sz w:val="19"/>
        </w:rPr>
        <w:t xml:space="preserve">. </w:t>
      </w:r>
      <w:r>
        <w:rPr>
          <w:b w:val="0"/>
          <w:i/>
          <w:sz w:val="19"/>
        </w:rPr>
        <w:t>Gut Microbes.</w:t>
      </w:r>
      <w:r>
        <w:rPr>
          <w:b w:val="0"/>
          <w:i w:val="0"/>
          <w:sz w:val="19"/>
        </w:rPr>
        <w:t xml:space="preserve"> 2025;17(1):2501492.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4.</w:t>
        <w:tab/>
      </w:r>
      <w:r>
        <w:rPr>
          <w:b w:val="0"/>
          <w:i w:val="0"/>
          <w:sz w:val="19"/>
        </w:rPr>
        <w:t>†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†Zaatry R, †Hajjo H, †Kadosh-Kariti D, Ben-Assa N, Naddaf R, Mandelbaum N, Pressman S, Chowers Y, Gefen T, Jeffrey KL, Jofre J, Coyne MJ, Comstock LE, Sharon I, Geva-Zatorsky N. Inflammation and bacteriophages affect DNA inversion states and functionality of the gut microbiota. </w:t>
      </w:r>
      <w:r>
        <w:rPr>
          <w:b w:val="0"/>
          <w:i/>
          <w:sz w:val="19"/>
        </w:rPr>
        <w:t>Cell Host Microbe.</w:t>
      </w:r>
      <w:r>
        <w:rPr>
          <w:b w:val="0"/>
          <w:i w:val="0"/>
          <w:sz w:val="19"/>
        </w:rPr>
        <w:t xml:space="preserve"> 2024;32(3):322–334.e9.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5.</w:t>
        <w:tab/>
      </w:r>
      <w:r>
        <w:rPr>
          <w:b w:val="0"/>
          <w:i w:val="0"/>
          <w:sz w:val="19"/>
        </w:rPr>
        <w:t xml:space="preserve">Mandelbaum N, Zhang L,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Ziv T, Lifshiz-Simon S, Davidovich I, Luz I, Berinstein E, Gefen T, Cooks T, Talmon Y, Balskus EP, Geva-Zatorsky N. Extracellular vesicles of the Gram-positive gut symbiont </w:t>
      </w:r>
      <w:r>
        <w:rPr>
          <w:b w:val="0"/>
          <w:i/>
          <w:sz w:val="19"/>
        </w:rPr>
        <w:t>Bifidobacterium longum</w:t>
      </w:r>
      <w:r>
        <w:rPr>
          <w:b w:val="0"/>
          <w:i w:val="0"/>
          <w:sz w:val="19"/>
        </w:rPr>
        <w:t xml:space="preserve"> induce immune-modulatory, anti-inflammatory effects. </w:t>
      </w:r>
      <w:r>
        <w:rPr>
          <w:b w:val="0"/>
          <w:i/>
          <w:sz w:val="19"/>
        </w:rPr>
        <w:t>npj Biofilms Microbiomes.</w:t>
      </w:r>
      <w:r>
        <w:rPr>
          <w:b w:val="0"/>
          <w:i w:val="0"/>
          <w:sz w:val="19"/>
        </w:rPr>
        <w:t xml:space="preserve"> 2023;9:30.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6.</w:t>
        <w:tab/>
      </w:r>
      <w:r>
        <w:rPr>
          <w:b w:val="0"/>
          <w:i w:val="0"/>
          <w:sz w:val="19"/>
        </w:rPr>
        <w:t xml:space="preserve">Ben-Assa N, Coyne MJ, Fomenkov A, Livny J, Robins WP, Muniesa M, Carey V,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Gefen T, Jofre J, Roberts RJ, Comstock LE, Geva-Zatorsky N. Analysis of a phase-variable restriction modification system of the human gut symbiont </w:t>
      </w:r>
      <w:r>
        <w:rPr>
          <w:b w:val="0"/>
          <w:i/>
          <w:sz w:val="19"/>
        </w:rPr>
        <w:t>Bacteroides fragilis</w:t>
      </w:r>
      <w:r>
        <w:rPr>
          <w:b w:val="0"/>
          <w:i w:val="0"/>
          <w:sz w:val="19"/>
        </w:rPr>
        <w:t xml:space="preserve">. </w:t>
      </w:r>
      <w:r>
        <w:rPr>
          <w:b w:val="0"/>
          <w:i/>
          <w:sz w:val="19"/>
        </w:rPr>
        <w:t>Nucleic Acids Res.</w:t>
      </w:r>
      <w:r>
        <w:rPr>
          <w:b w:val="0"/>
          <w:i w:val="0"/>
          <w:sz w:val="19"/>
        </w:rPr>
        <w:t xml:space="preserve"> 2020;48(19):11040–11053.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Preprint.</w:t>
        <w:tab/>
      </w:r>
      <w:r>
        <w:rPr>
          <w:b w:val="0"/>
          <w:i w:val="0"/>
          <w:sz w:val="19"/>
        </w:rPr>
        <w:t xml:space="preserve">Ghezzi H, Wolff R, Jain A, Burckhardt JC, Hunter M, Ng KM,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Geva-Zatorsky N, Garud N, Tropini C. Growth capacity and mortality burden shape microbial persistence under osmotic stress in </w:t>
      </w:r>
      <w:r>
        <w:rPr>
          <w:b w:val="0"/>
          <w:i/>
          <w:sz w:val="19"/>
        </w:rPr>
        <w:t>Bacteroides thetaiotaomicron</w:t>
      </w:r>
      <w:r>
        <w:rPr>
          <w:b w:val="0"/>
          <w:i w:val="0"/>
          <w:sz w:val="19"/>
        </w:rPr>
        <w:t xml:space="preserve">. </w:t>
      </w:r>
      <w:r>
        <w:rPr>
          <w:b w:val="0"/>
          <w:i/>
          <w:sz w:val="19"/>
        </w:rPr>
        <w:t>bioRxiv.</w:t>
      </w:r>
      <w:r>
        <w:rPr>
          <w:b w:val="0"/>
          <w:i w:val="0"/>
          <w:sz w:val="19"/>
        </w:rPr>
        <w:t xml:space="preserve"> 2026.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Preview.</w:t>
        <w:tab/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Hajjo H, Geva-Zatorsky N. Phage-bacteria associations: analyze, match, develop therapies. </w:t>
      </w:r>
      <w:r>
        <w:rPr>
          <w:b w:val="0"/>
          <w:i/>
          <w:sz w:val="19"/>
        </w:rPr>
        <w:t>Cell Host Microbe.</w:t>
      </w:r>
      <w:r>
        <w:rPr>
          <w:b w:val="0"/>
          <w:i w:val="0"/>
          <w:sz w:val="19"/>
        </w:rPr>
        <w:t xml:space="preserve"> 2020;28:353–355.</w:t>
      </w:r>
    </w:p>
    <w:p>
      <w:pPr>
        <w:keepNext/>
        <w:spacing w:before="80" w:after="40"/>
      </w:pPr>
      <w:r>
        <w:rPr>
          <w:b/>
          <w:i w:val="0"/>
          <w:color w:val="555555"/>
          <w:sz w:val="19"/>
        </w:rPr>
        <w:t>Microbiome, infection and clinical studies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1.</w:t>
        <w:tab/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Gefen T, Bakria R, Bar-Yoseph H, Geva-Zatorsky N. Microbiome changes associated with FMT-mediated clearance of antibiotic-resistant </w:t>
      </w:r>
      <w:r>
        <w:rPr>
          <w:b w:val="0"/>
          <w:i/>
          <w:sz w:val="19"/>
        </w:rPr>
        <w:t>Klebsiella pneumoniae</w:t>
      </w:r>
      <w:r>
        <w:rPr>
          <w:b w:val="0"/>
          <w:i w:val="0"/>
          <w:sz w:val="19"/>
        </w:rPr>
        <w:t xml:space="preserve"> in a murine carriage model. </w:t>
      </w:r>
      <w:r>
        <w:rPr>
          <w:b w:val="0"/>
          <w:i/>
          <w:sz w:val="19"/>
        </w:rPr>
        <w:t>BMC Microbiol.</w:t>
      </w:r>
      <w:r>
        <w:rPr>
          <w:b w:val="0"/>
          <w:i w:val="0"/>
          <w:sz w:val="19"/>
        </w:rPr>
        <w:t xml:space="preserve"> 2026;26:898.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2.</w:t>
        <w:tab/>
      </w:r>
      <w:r>
        <w:rPr>
          <w:b w:val="0"/>
          <w:i w:val="0"/>
          <w:sz w:val="19"/>
        </w:rPr>
        <w:t xml:space="preserve">Ben-Assa N, Naddaf R,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Dagan O, Sason A, Gefen T, Geva-Zatorsky N. Intra-species competition combats vancomycin-resistant enterococci. </w:t>
      </w:r>
      <w:r>
        <w:rPr>
          <w:b w:val="0"/>
          <w:i/>
          <w:sz w:val="19"/>
        </w:rPr>
        <w:t>Gut Microbes.</w:t>
      </w:r>
      <w:r>
        <w:rPr>
          <w:b w:val="0"/>
          <w:i w:val="0"/>
          <w:sz w:val="19"/>
        </w:rPr>
        <w:t xml:space="preserve"> 2026;18(1):2647529.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3.</w:t>
        <w:tab/>
      </w:r>
      <w:r>
        <w:rPr>
          <w:b w:val="0"/>
          <w:i w:val="0"/>
          <w:sz w:val="19"/>
        </w:rPr>
        <w:t>†Naddaf R, †Shmilovich H, †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Keshet-David R, Herren R, Gefen T, Goshen-Lago T, Zwang Y, Livyatan I, Shental N, Haberfeld O, Straussman R, Markar SR, Nilsson M, Kashtan H, Ben-Aharon I, Geva-Zatorsky N. Esophageal microbiome correlates with post-esophagectomy anastomotic leak in cancer patients. </w:t>
      </w:r>
      <w:r>
        <w:rPr>
          <w:b w:val="0"/>
          <w:i/>
          <w:sz w:val="19"/>
        </w:rPr>
        <w:t>ESMO Gastrointest Oncol.</w:t>
      </w:r>
      <w:r>
        <w:rPr>
          <w:b w:val="0"/>
          <w:i w:val="0"/>
          <w:sz w:val="19"/>
        </w:rPr>
        <w:t xml:space="preserve"> 2025;8:100172.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4.</w:t>
        <w:tab/>
      </w:r>
      <w:r>
        <w:rPr>
          <w:b w:val="0"/>
          <w:i w:val="0"/>
          <w:sz w:val="19"/>
        </w:rPr>
        <w:t>†Naddaf R, †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Reznick-Levi G, Hasnis E, Qarawani A, Maza I, Gefen T, Half EE, Geva-Zatorsky N. Gut microbial signatures are associated with Lynch syndrome and cancer history in Druze communities in Israel. </w:t>
      </w:r>
      <w:r>
        <w:rPr>
          <w:b w:val="0"/>
          <w:i/>
          <w:sz w:val="19"/>
        </w:rPr>
        <w:t>Sci Rep.</w:t>
      </w:r>
      <w:r>
        <w:rPr>
          <w:b w:val="0"/>
          <w:i w:val="0"/>
          <w:sz w:val="19"/>
        </w:rPr>
        <w:t xml:space="preserve"> 2023;13:20677.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5.</w:t>
        <w:tab/>
      </w:r>
      <w:r>
        <w:rPr>
          <w:b w:val="0"/>
          <w:i w:val="0"/>
          <w:sz w:val="19"/>
        </w:rPr>
        <w:t>†Mudrik-Zohar H, †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Gefen T, Zalmanovich A, Katzir M, Cohen Y, Paitan Y, Geva-Zatorsky N, Chowers M. Microbiome characterization of infected diabetic foot ulcers in association with clinical outcomes: traditional cultures versus molecular sequencing methods. </w:t>
      </w:r>
      <w:r>
        <w:rPr>
          <w:b w:val="0"/>
          <w:i/>
          <w:sz w:val="19"/>
        </w:rPr>
        <w:t>Front Cell Infect Microbiol.</w:t>
      </w:r>
      <w:r>
        <w:rPr>
          <w:b w:val="0"/>
          <w:i w:val="0"/>
          <w:sz w:val="19"/>
        </w:rPr>
        <w:t xml:space="preserve"> 2022;12:836699.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6.</w:t>
        <w:tab/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Fishman B, Lask LS, Shochat T, Geva-Zatorsky N, Tauber E. Metagenomic analysis reveals the signature of gut microbiota associated with human chronotypes. </w:t>
      </w:r>
      <w:r>
        <w:rPr>
          <w:b w:val="0"/>
          <w:i/>
          <w:sz w:val="19"/>
        </w:rPr>
        <w:t>FASEB J.</w:t>
      </w:r>
      <w:r>
        <w:rPr>
          <w:b w:val="0"/>
          <w:i w:val="0"/>
          <w:sz w:val="19"/>
        </w:rPr>
        <w:t xml:space="preserve"> 2021;35(11):e22011.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7.</w:t>
        <w:tab/>
      </w:r>
      <w:r>
        <w:rPr>
          <w:b w:val="0"/>
          <w:i w:val="0"/>
          <w:sz w:val="19"/>
        </w:rPr>
        <w:t xml:space="preserve">Berkowitz E, Kopelman Y, Kadosh D,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Tiosano B, Kesler A, Geva-Zatorsky N. "More guts than brains?" The role of gut microbiota in idiopathic intracranial hypertension. </w:t>
      </w:r>
      <w:r>
        <w:rPr>
          <w:b w:val="0"/>
          <w:i/>
          <w:sz w:val="19"/>
        </w:rPr>
        <w:t>J Neuroophthalmol.</w:t>
      </w:r>
      <w:r>
        <w:rPr>
          <w:b w:val="0"/>
          <w:i w:val="0"/>
          <w:sz w:val="19"/>
        </w:rPr>
        <w:t xml:space="preserve"> 2022;42(1):e70–e77.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8.</w:t>
        <w:tab/>
      </w:r>
      <w:r>
        <w:rPr>
          <w:b w:val="0"/>
          <w:i w:val="0"/>
          <w:sz w:val="19"/>
        </w:rPr>
        <w:t>†Bar-Yoseph H, †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Shklar S, Korytny A, Even Dar R, Daoud H, Nassar R, Maharshak N, Hussein K, Geffen Y, Chowers Y, Geva-Zatorsky N, Paul M. Oral capsulized fecal microbiota transplantation for eradication of carbapenemase-producing Enterobacteriaceae colonization with a metagenomic perspective. </w:t>
      </w:r>
      <w:r>
        <w:rPr>
          <w:b w:val="0"/>
          <w:i/>
          <w:sz w:val="19"/>
        </w:rPr>
        <w:t>Clin Infect Dis.</w:t>
      </w:r>
      <w:r>
        <w:rPr>
          <w:b w:val="0"/>
          <w:i w:val="0"/>
          <w:sz w:val="19"/>
        </w:rPr>
        <w:t xml:space="preserve"> 2021;73(1):e166–e175.</w:t>
      </w:r>
    </w:p>
    <w:p>
      <w:pPr>
        <w:keepNext/>
        <w:spacing w:before="80" w:after="40"/>
      </w:pPr>
      <w:r>
        <w:rPr>
          <w:b/>
          <w:i w:val="0"/>
          <w:color w:val="555555"/>
          <w:sz w:val="19"/>
        </w:rPr>
        <w:t>Other collaborations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1.</w:t>
        <w:tab/>
      </w:r>
      <w:r>
        <w:rPr>
          <w:b w:val="0"/>
          <w:i w:val="0"/>
          <w:sz w:val="19"/>
        </w:rPr>
        <w:t xml:space="preserve">Ohayon C, Gross N, Capucha T,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Shkedy Y, Rachmiel A, Emodi O. Efficiency and outcomes in microvascular anastomosis: a meta-analysis of mechanical versus manual techniques. </w:t>
      </w:r>
      <w:r>
        <w:rPr>
          <w:b w:val="0"/>
          <w:i/>
          <w:sz w:val="19"/>
        </w:rPr>
        <w:t>J Cranio-Maxillofac Surg.</w:t>
      </w:r>
      <w:r>
        <w:rPr>
          <w:b w:val="0"/>
          <w:i w:val="0"/>
          <w:sz w:val="19"/>
        </w:rPr>
        <w:t xml:space="preserve"> 2025;53(10):1720–1730.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2.</w:t>
        <w:tab/>
      </w:r>
      <w:r>
        <w:rPr>
          <w:b w:val="0"/>
          <w:i w:val="0"/>
          <w:sz w:val="19"/>
        </w:rPr>
        <w:t xml:space="preserve">Ohayon C, Ritschl LM, Capucha T,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 xml:space="preserve">, Fichter AM, Gross N, Rachmiel A, Wolff KD, Emodi O. The never-ending story: single versus dual venous anastomoses in microsurgical radial forearm free flap for head and neck reconstruction. </w:t>
      </w:r>
      <w:r>
        <w:rPr>
          <w:b w:val="0"/>
          <w:i/>
          <w:sz w:val="19"/>
        </w:rPr>
        <w:t>J Cranio-Maxillofac Surg.</w:t>
      </w:r>
      <w:r>
        <w:rPr>
          <w:b w:val="0"/>
          <w:i w:val="0"/>
          <w:sz w:val="19"/>
        </w:rPr>
        <w:t xml:space="preserve"> 2025;53(9):1326–1333.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3.</w:t>
        <w:tab/>
      </w:r>
      <w:r>
        <w:rPr>
          <w:b w:val="0"/>
          <w:i w:val="0"/>
          <w:sz w:val="19"/>
        </w:rPr>
        <w:t xml:space="preserve">Marai I, Carasso D, Carasso S, Carasso S. The mechanical cost of decreasing conduction velocity: a mathematical model of pacing-induced lower strain. </w:t>
      </w:r>
      <w:r>
        <w:rPr>
          <w:b w:val="0"/>
          <w:i/>
          <w:sz w:val="19"/>
        </w:rPr>
        <w:t>J Atr Fibrillation.</w:t>
      </w:r>
      <w:r>
        <w:rPr>
          <w:b w:val="0"/>
          <w:i w:val="0"/>
          <w:sz w:val="19"/>
        </w:rPr>
        <w:t xml:space="preserve"> 2021;14(1):20200444.</w:t>
      </w:r>
    </w:p>
    <w:p>
      <w:pPr>
        <w:keepNext/>
        <w:spacing w:before="80" w:after="40"/>
      </w:pPr>
      <w:r>
        <w:rPr>
          <w:b/>
          <w:i w:val="0"/>
          <w:color w:val="555555"/>
          <w:sz w:val="19"/>
        </w:rPr>
        <w:t>Patent applications (pending)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1.</w:t>
        <w:tab/>
      </w:r>
      <w:r>
        <w:rPr>
          <w:b w:val="0"/>
          <w:i w:val="0"/>
          <w:sz w:val="19"/>
        </w:rPr>
        <w:t xml:space="preserve">Geva-Zatorsky N,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>, Gefen T, Keshet R, Hajjo H, Zaatry R, Sharon I. Reversible bacterial phase-variations and uses thereof in diagnostic and therapeutic applications. WO2024176230A1, 2024; US Patent App. 19/157,833, 2026.</w:t>
      </w:r>
    </w:p>
    <w:p>
      <w:pPr>
        <w:tabs>
          <w:tab w:pos="510" w:val="left"/>
        </w:tabs>
        <w:spacing w:after="60"/>
        <w:ind w:left="510" w:hanging="510"/>
      </w:pPr>
      <w:r>
        <w:rPr>
          <w:b w:val="0"/>
          <w:i w:val="0"/>
          <w:color w:val="555555"/>
          <w:sz w:val="19"/>
        </w:rPr>
        <w:t>2.</w:t>
        <w:tab/>
      </w:r>
      <w:r>
        <w:rPr>
          <w:b w:val="0"/>
          <w:i w:val="0"/>
          <w:sz w:val="19"/>
        </w:rPr>
        <w:t xml:space="preserve">Geva-Zatorsky N, Gefen T, Kariti D, Ben-Assa N, Abboud R, </w:t>
      </w:r>
      <w:r>
        <w:rPr>
          <w:b/>
          <w:i w:val="0"/>
          <w:sz w:val="19"/>
        </w:rPr>
        <w:t>Carasso S</w:t>
      </w:r>
      <w:r>
        <w:rPr>
          <w:b w:val="0"/>
          <w:i w:val="0"/>
          <w:sz w:val="19"/>
        </w:rPr>
        <w:t>, Zaatry R. Bacteriophages as a tool to manipulate gut commensal immune-modulation activity. WO2024194876A1, 2024.</w:t>
      </w:r>
    </w:p>
    <w:p>
      <w:pPr>
        <w:keepNext/>
        <w:spacing w:before="180" w:after="8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AWARDS AND HONORS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2025</w:t>
            </w:r>
          </w:p>
        </w:tc>
        <w:tc>
          <w:tcPr>
            <w:tcW w:type="dxa" w:w="8277"/>
          </w:tcPr>
          <w:p>
            <w:pPr>
              <w:spacing w:after="60"/>
            </w:pPr>
            <w:r>
              <w:rPr>
                <w:b/>
                <w:i w:val="0"/>
              </w:rPr>
              <w:t>Best Lecture Award, Technion Faculty of Medicine Graduate Research Day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2024</w:t>
            </w:r>
          </w:p>
        </w:tc>
        <w:tc>
          <w:tcPr>
            <w:tcW w:type="dxa" w:w="8277"/>
          </w:tcPr>
          <w:p>
            <w:pPr>
              <w:spacing w:after="60"/>
            </w:pPr>
            <w:r>
              <w:rPr>
                <w:b/>
                <w:i w:val="0"/>
              </w:rPr>
              <w:t>Jacobs Award for an Excellent Publication, Technion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2024</w:t>
            </w:r>
          </w:p>
        </w:tc>
        <w:tc>
          <w:tcPr>
            <w:tcW w:type="dxa" w:w="8277"/>
          </w:tcPr>
          <w:p>
            <w:pPr>
              <w:spacing w:after="60"/>
            </w:pPr>
            <w:r>
              <w:rPr>
                <w:b/>
                <w:i w:val="0"/>
              </w:rPr>
              <w:t>Best Poster Award, Technion Faculty of Medicine Graduate Research Day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2023</w:t>
            </w:r>
          </w:p>
        </w:tc>
        <w:tc>
          <w:tcPr>
            <w:tcW w:type="dxa" w:w="8277"/>
          </w:tcPr>
          <w:p>
            <w:pPr>
              <w:spacing w:after="60"/>
            </w:pPr>
            <w:r>
              <w:rPr>
                <w:b/>
                <w:i w:val="0"/>
              </w:rPr>
              <w:t>Gutwirth Excellence Scholarship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2022</w:t>
            </w:r>
          </w:p>
        </w:tc>
        <w:tc>
          <w:tcPr>
            <w:tcW w:type="dxa" w:w="8277"/>
          </w:tcPr>
          <w:p>
            <w:pPr>
              <w:spacing w:after="60"/>
            </w:pPr>
            <w:r>
              <w:rPr>
                <w:b/>
                <w:i w:val="0"/>
              </w:rPr>
              <w:t>Teva BioInnovation Student Fellowship and Mentorship Program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2020–2024</w:t>
            </w:r>
          </w:p>
        </w:tc>
        <w:tc>
          <w:tcPr>
            <w:tcW w:type="dxa" w:w="8277"/>
          </w:tcPr>
          <w:p>
            <w:pPr>
              <w:spacing w:after="60"/>
            </w:pPr>
            <w:r>
              <w:rPr>
                <w:b/>
                <w:i w:val="0"/>
              </w:rPr>
              <w:t>Faculty of Medicine Excellence Scholarship for Graduate Students (five semesters)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2017–2018</w:t>
            </w:r>
          </w:p>
        </w:tc>
        <w:tc>
          <w:tcPr>
            <w:tcW w:type="dxa" w:w="8277"/>
          </w:tcPr>
          <w:p>
            <w:pPr>
              <w:spacing w:after="60"/>
            </w:pPr>
            <w:r>
              <w:rPr>
                <w:b/>
                <w:i w:val="0"/>
              </w:rPr>
              <w:t>Outstanding Bachelor Student Award and Dean's List (three semesters), Faculty of Biology, Technion</w:t>
            </w:r>
          </w:p>
        </w:tc>
      </w:tr>
    </w:tbl>
    <w:p>
      <w:pPr>
        <w:keepNext/>
        <w:spacing w:before="180" w:after="80"/>
        <w:pBdr>
          <w:bottom w:val="single" w:sz="6" w:space="1" w:color="1F3A5F"/>
        </w:pBdr>
      </w:pPr>
      <w:r>
        <w:rPr>
          <w:b/>
          <w:i w:val="0"/>
          <w:color w:val="1F3A5F"/>
          <w:sz w:val="22"/>
        </w:rPr>
        <w:t>CONFERENCE PRESENTATIONS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2024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 xml:space="preserve">"Long-term impact: bacteriophage-driven DNA inversions shape </w:t>
            </w:r>
            <w:r>
              <w:rPr>
                <w:b/>
                <w:i/>
              </w:rPr>
              <w:t>Bacteroides fragilis</w:t>
            </w:r>
            <w:r>
              <w:rPr>
                <w:b/>
                <w:i w:val="0"/>
              </w:rPr>
              <w:t xml:space="preserve"> functionality"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>10th International Human Microbiome Consortium Congress, Rome, Italy (short talk)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2024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>"Bacterial DNA inversions and functional plasticity during inflammation and encounter with bacteriophages"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>Israel Society for Microbiology Annual Meeting, Ramat Gan, Israel (poster)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2024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>"Bacterial DNA inversions and functional plasticity during inflammation and encounter with bacteriophages"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>Jacobs Graduate Research Day, Technion, Haifa, Israel (poster)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2023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>"Bacterial DNA inversions and functional plasticity during inflammation and encounter with bacteriophages"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>EMBL Symposium: The Human Microbiome, Heidelberg, Germany (talk)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2023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>"Inflammation and bacteriophages affect DNA inversion states and functionality of the gut microbiota"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>10th Annual Broad-ISF Symposium, Jerusalem, Israel (poster)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8277"/>
      </w:tblGrid>
      <w:tr>
        <w:trPr>
          <w:cantSplit/>
        </w:trPr>
        <w:tc>
          <w:tcPr>
            <w:tcW w:type="dxa" w:w="1871"/>
          </w:tcPr>
          <w:p>
            <w:r>
              <w:rPr>
                <w:b w:val="0"/>
                <w:i w:val="0"/>
                <w:color w:val="555555"/>
                <w:sz w:val="19"/>
              </w:rPr>
              <w:t>2023</w:t>
            </w:r>
          </w:p>
        </w:tc>
        <w:tc>
          <w:tcPr>
            <w:tcW w:type="dxa" w:w="8277"/>
          </w:tcPr>
          <w:p>
            <w:r>
              <w:rPr>
                <w:b/>
                <w:i w:val="0"/>
              </w:rPr>
              <w:t xml:space="preserve">"Gut </w:t>
            </w:r>
            <w:r>
              <w:rPr>
                <w:b/>
                <w:i/>
              </w:rPr>
              <w:t>Bacteroides</w:t>
            </w:r>
            <w:r>
              <w:rPr>
                <w:b/>
                <w:i w:val="0"/>
              </w:rPr>
              <w:t xml:space="preserve"> exhibit genomic phase variations under inflammatory conditions"</w:t>
            </w:r>
          </w:p>
          <w:p>
            <w:pPr>
              <w:spacing w:after="60"/>
            </w:pPr>
            <w:r>
              <w:rPr>
                <w:b w:val="0"/>
                <w:i w:val="0"/>
                <w:sz w:val="19"/>
              </w:rPr>
              <w:t>ILANIT | FISEB Experimental Biology Conference, Eilat, Israel (talk)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55555"/>
        <w:sz w:val="16"/>
      </w:rPr>
      <w:t>Shaqed Carasso · CV · Last updated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