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Passation des accès</w:t>
      </w:r>
    </w:p>
    <w:p>
      <w:pPr>
        <w:spacing w:after="40"/>
        <w:jc w:val="center"/>
      </w:pPr>
      <w:r>
        <w:rPr>
          <w:color w:val="475569"/>
          <w:sz w:val="22"/>
          <w:szCs w:val="22"/>
        </w:rPr>
        <w:t xml:space="preserve">Plateforme de téléconsultation — comptes techniques et moyens d’administration</w:t>
      </w:r>
    </w:p>
    <w:p>
      <w:pPr>
        <w:pBdr>
          <w:bottom w:val="single" w:color="2563EB" w:sz="6" w:space="8"/>
        </w:pBdr>
        <w:spacing w:after="240"/>
        <w:jc w:val="center"/>
      </w:pPr>
      <w:r>
        <w:rPr>
          <w:color w:val="475569"/>
          <w:sz w:val="20"/>
          <w:szCs w:val="20"/>
        </w:rPr>
        <w:t xml:space="preserve">Établi en Juin 2026 — Date de la passation : ______________________</w:t>
      </w:r>
    </w:p>
    <w:p>
      <w:pPr>
        <w:pStyle w:val="Heading1"/>
      </w:pPr>
      <w:r>
        <w:t xml:space="preserve">1. Objet du document</w:t>
      </w:r>
    </w:p>
    <w:p>
      <w:pPr>
        <w:spacing w:after="120"/>
      </w:pPr>
      <w:r>
        <w:t xml:space="preserve">Ce document organise la remise au praticien des comptes techniques créés pour la plateforme de téléconsultation. Il recense les services concernés, leurs modalités d’accès et les opérations de bascule à réaliser : moyens de paiement, propriété du nom de domaine, contrôle de la boîte email d’administration.</w:t>
      </w:r>
    </w:p>
    <w:p>
      <w:pPr>
        <w:spacing w:after="120"/>
      </w:pPr>
      <w:r>
        <w:t xml:space="preserve">Il est utilisé en deux temps. Pendant le projet, il sert de registre des comptes, sans aucun mot de passe. Le jour de la remise, l’annexe A est complétée à la main, les opérations de bascule sont réalisées en présence des deux parties, puis le document est signé en deux exemplaires.</w:t>
      </w:r>
    </w:p>
    <w:p>
      <w:pPr>
        <w:pStyle w:val="Heading1"/>
      </w:pPr>
      <w:r>
        <w:t xml:space="preserve">2. Principe de rattachement des comptes</w:t>
      </w:r>
    </w:p>
    <w:p>
      <w:pPr>
        <w:spacing w:after="120"/>
      </w:pPr>
      <w:r>
        <w:t xml:space="preserve">L’ensemble des services est rattaché à une adresse unique : admin@[domaine]. Cette adresse constitue l’identité d’administration de la plateforme. Elle n’est liée à aucune personne physique : la remise de cette boîte email transfère de fait le contrôle de tous les comptes qui en dépendent.</w:t>
      </w:r>
    </w:p>
    <w:p>
      <w:pPr>
        <w:spacing w:after="120"/>
      </w:pPr>
      <w:r>
        <w:t xml:space="preserve">La passation se résume donc à trois gestes : remettre la boîte admin@[domaine] (mot de passe et double authentification), basculer les moyens de paiement de chaque service, et vérifier la propriété du nom de domaine.</w:t>
      </w:r>
    </w:p>
    <w:p>
      <w:pPr>
        <w:pStyle w:val="Heading1"/>
      </w:pPr>
      <w:r>
        <w:t xml:space="preserve">3. Inventaire des comptes</w:t>
      </w:r>
    </w:p>
    <w:p>
      <w:pPr>
        <w:pStyle w:val="Heading2"/>
      </w:pPr>
      <w:r>
        <w:t xml:space="preserve">3.1 OVH — nom de domaine, email, DNS</w:t>
      </w:r>
    </w:p>
    <w:p>
      <w:pPr>
        <w:spacing w:after="120"/>
      </w:pPr>
      <w:r>
        <w:rPr>
          <w:color w:val="475569"/>
          <w:sz w:val="20"/>
          <w:szCs w:val="20"/>
        </w:rPr>
        <w:t xml:space="preserve">Rôle : registre du domaine [domaine], hébergement des boîtes email (admin@, contact@), gestion de la zone DNS (enregistrements SPF et DKIM pour Mailjet, domaines personnalisés pour Azure).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de connexion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https://www.ovh.com/manager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Identifiant du compte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de contact du compte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admin@[domaine]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Titulaire du domaine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Double authentification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 :                          Détenteur :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Boîte admin@[domaine]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 de passe distinct du compte OVH — voir annexe A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Moyen de paiement actuel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du prestataire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Bascule à réaliser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du praticien — changement de titulaire du domaine si nécessaire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Microsoft Azure — hébergement de la plateforme</w:t>
      </w:r>
    </w:p>
    <w:p>
      <w:pPr>
        <w:spacing w:after="120"/>
      </w:pPr>
      <w:r>
        <w:rPr>
          <w:color w:val="475569"/>
          <w:sz w:val="20"/>
          <w:szCs w:val="20"/>
        </w:rPr>
        <w:t xml:space="preserve">Rôle : hébergement applicatif et base de données (région France Central), journalisation, monitoring. Les clauses HDS de Microsoft sont rattachées à ce compte.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de connexion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https://portal.azure.com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admin@[domaine]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Tenant ID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Profil de facturation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 nom et à l’adresse du cabinet (établi à l’ouverture du compte)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Double authentification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Authenticator — codes de secours en annexe A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Accès délégué prestataire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Compte invité Entra ID, rôle :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Clauses HDS Microsoft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:                          Date de signature :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Moyen de paiement actuel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du prestataire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Bascule à réaliser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du praticien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Twilio — envoi de SMS</w:t>
      </w:r>
    </w:p>
    <w:p>
      <w:pPr>
        <w:spacing w:after="120"/>
      </w:pPr>
      <w:r>
        <w:rPr>
          <w:color w:val="475569"/>
          <w:sz w:val="20"/>
          <w:szCs w:val="20"/>
        </w:rPr>
        <w:t xml:space="preserve">Rôle : SMS d’orientation après appel téléphonique et confirmations de rendez-vous. Expéditeur alphanumérique au nom du cabinet.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de connexion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https://console.twilio.com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admin@[domaine]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 SID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Expéditeur SMS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Double authentification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 :                          Détenteur :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Moyen de paiement actuel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du prestataire (crédit prépayé)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Bascule à réaliser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du praticien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Mailjet — emails transactionnels</w:t>
      </w:r>
    </w:p>
    <w:p>
      <w:pPr>
        <w:spacing w:after="120"/>
      </w:pPr>
      <w:r>
        <w:rPr>
          <w:color w:val="475569"/>
          <w:sz w:val="20"/>
          <w:szCs w:val="20"/>
        </w:rPr>
        <w:t xml:space="preserve">Rôle : envoi des emails de la plateforme (confirmations, notifications). Domaine d’envoi validé par enregistrements SPF et DKIM dans la zone DNS OVH.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de connexion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https://app.mailjet.com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admin@[domaine]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Offre en cours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gratuit — 6 000 emails par mois, 200 par jour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Clé API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Référencée dans le gestionnaire de mots de passe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Double authentification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 :                          Détenteur :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Moyen de paiement actuel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Aucun (offre gratuite)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Bascule à réaliser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du praticien en cas de passage à une offre payante</w:t>
            </w:r>
          </w:p>
        </w:tc>
      </w:tr>
    </w:tbl>
    <w:p>
      <w:pPr>
        <w:pStyle w:val="Heading1"/>
      </w:pPr>
      <w:r>
        <w:t xml:space="preserve">4. Opérations de bascule — le jour de la remise</w:t>
      </w:r>
    </w:p>
    <w:p>
      <w:pPr>
        <w:spacing w:after="120"/>
      </w:pPr>
      <w:r>
        <w:t xml:space="preserve">Chaque opération est réalisée en présence des deux parties, puis paraphée.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1100"/>
        <w:gridCol w:w="1400"/>
      </w:tblGrid>
      <w:tr>
        <w:trPr>
          <w:tblHeader/>
        </w:trP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Opération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Paraphes</w:t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 de passe de la boîte admin@[domaine] changé par le praticien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authentification de la boîte transférée sur le téléphone du praticien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Codes de secours remis (annexe A complétée à la main)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basculée : OVH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basculée : Microsoft Azure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basculée : Twilio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Carte bancaire basculée : Mailjet (si offre payante)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Titulaire du domaine vérifié ou transféré au praticien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Mots de passe des quatre comptes changés par le praticien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Accès délégué du prestataire confirmé (invité Entra ID, délégation OVH)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 de facturation Azure vérifié au nom de la structure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des clauses HDS Microsoft vérifié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5. Consignes de sécurité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L’annexe A est complétée à la main, le jour de la remise uniquement. Aucun mot de passe ne doit figurer dans la version numérique de ce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document signé est conservé en deux exemplaires papier, dans un lieu sécurisé (coffre ou armoire fermée du cabinet pour l’exemplaire du praticien).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mots de passe sont changés par le praticien le jour même de la remise, en présence du prestataire.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Aucun mot de passe n’est transmis par email, SMS ou messagerie, ni avant ni après la passation.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Il est recommandé au praticien d’adopter un gestionnaire de mots de passe dès la remise.</w:t>
      </w:r>
    </w:p>
    <w:p>
      <w:pPr>
        <w:pStyle w:val="Heading1"/>
      </w:pPr>
      <w:r>
        <w:t xml:space="preserve">6. Signatures</w:t>
      </w:r>
    </w:p>
    <w:p>
      <w:pPr>
        <w:spacing w:after="120"/>
      </w:pPr>
      <w:r>
        <w:t xml:space="preserve">Fait à ______________________ , le ______________________ , en deux exemplaires originaux.</w:t>
      </w:r>
    </w:p>
    <w:p>
      <w:pPr>
        <w:spacing w:after="60"/>
      </w:pPr>
    </w:p>
    <w:p>
      <w:pPr>
        <w:tabs>
          <w:tab w:val="left" w:pos="5000"/>
        </w:tabs>
        <w:spacing w:after="60"/>
      </w:pPr>
      <w:r>
        <w:rPr>
          <w:b/>
          <w:bCs/>
        </w:rPr>
        <w:t>Pour le prestataire	Pour le praticien</w:t>
      </w:r>
    </w:p>
    <w:p>
      <w:pPr>
        <w:tabs>
          <w:tab w:val="left" w:pos="5000"/>
        </w:tabs>
        <w:spacing w:after="480"/>
      </w:pPr>
      <w:r>
        <w:rPr>
          <w:color w:val="475569"/>
        </w:rPr>
        <w:t xml:space="preserve">Nom : 	Nom : </w:t>
      </w:r>
    </w:p>
    <w:p>
      <w:pPr>
        <w:tabs>
          <w:tab w:val="left" w:pos="5000"/>
        </w:tabs>
        <w:spacing w:after="120"/>
      </w:pPr>
      <w:r>
        <w:rPr>
          <w:color w:val="475569"/>
        </w:rPr>
        <w:t>Signature :	Signature :</w:t>
      </w:r>
    </w:p>
    <w:p>
      <w:pPr>
        <w:pStyle w:val="Heading1"/>
        <w:pageBreakBefore/>
      </w:pPr>
      <w:r>
        <w:t xml:space="preserve">Annexe A — Mots de passe et codes de secours</w:t>
      </w:r>
    </w:p>
    <w:p>
      <w:pPr>
        <w:pBdr>
          <w:top w:val="single" w:color="EA580C" w:sz="4" w:space="4"/>
          <w:left w:val="single" w:color="EA580C" w:sz="4" w:space="4"/>
          <w:bottom w:val="single" w:color="EA580C" w:sz="4" w:space="4"/>
          <w:right w:val="single" w:color="EA580C" w:sz="4" w:space="4"/>
        </w:pBdr>
        <w:shd w:fill="FFF7ED" w:val="clear"/>
        <w:spacing w:after="160"/>
      </w:pPr>
      <w:r>
        <w:rPr>
          <w:b/>
          <w:bCs/>
          <w:color w:val="EA580C"/>
          <w:sz w:val="20"/>
          <w:szCs w:val="20"/>
        </w:rPr>
        <w:t xml:space="preserve">À compléter à la main, le jour de la remise uniquement. Ne jamais saisir ces informations dans la version numérique du document.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26"/>
        <w:gridCol w:w="16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Codes de secours remis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Boîte admin@[domaine]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oui    ☐ non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Compte OVH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oui    ☐ non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Azure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oui    ☐ non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oui    ☐ non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Mailjet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oui    ☐ non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oui    ☐ non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475569"/>
          <w:sz w:val="20"/>
          <w:szCs w:val="20"/>
        </w:rPr>
        <w:t xml:space="preserve">Une fois l’annexe complétée et les opérations de la section 4 réalisées, ce document constitue l’unique trace écrite des accès remis. Sa conservation relève de la responsabilité de chaque partie.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Passation des accès — 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2026-06-11T06:15:08.588Z</dcterms:created>
  <dcterms:modified xsi:type="dcterms:W3CDTF">2026-06-11T06:15:08.589Z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