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r>
        <w:drawing>
          <wp:inline xmlns:a="http://schemas.openxmlformats.org/drawingml/2006/main" xmlns:pic="http://schemas.openxmlformats.org/drawingml/2006/picture">
            <wp:extent cx="1554480" cy="780917"/>
            <wp:docPr id="1" name="Picture 1" descr="BISP Solutions logo" title="BISP Solutions"/>
            <wp:cNvGraphicFramePr>
              <a:graphicFrameLocks noChangeAspect="1"/>
            </wp:cNvGraphicFramePr>
            <a:graphic>
              <a:graphicData uri="http://schemas.openxmlformats.org/drawingml/2006/picture">
                <pic:pic>
                  <pic:nvPicPr>
                    <pic:cNvPr id="0" name="bisp-logo.png"/>
                    <pic:cNvPicPr/>
                  </pic:nvPicPr>
                  <pic:blipFill>
                    <a:blip r:embed="rId11"/>
                    <a:stretch>
                      <a:fillRect/>
                    </a:stretch>
                  </pic:blipFill>
                  <pic:spPr>
                    <a:xfrm>
                      <a:off x="0" y="0"/>
                      <a:ext cx="1554480" cy="780917"/>
                    </a:xfrm>
                    <a:prstGeom prst="rect"/>
                  </pic:spPr>
                </pic:pic>
              </a:graphicData>
            </a:graphic>
          </wp:inline>
        </w:drawing>
      </w:r>
    </w:p>
    <w:p>
      <w:pPr>
        <w:spacing w:after="280"/>
      </w:pPr>
      <w:r>
        <w:rPr>
          <w:rFonts w:ascii="Calibri" w:hAnsi="Calibri"/>
          <w:b/>
          <w:color w:val="315FDD"/>
          <w:sz w:val="20"/>
        </w:rPr>
        <w:t>STRATEGY AND CAPABILITY GUIDE</w:t>
      </w:r>
    </w:p>
    <w:p>
      <w:pPr>
        <w:pStyle w:val="Title"/>
      </w:pPr>
      <w:r>
        <w:t>Oracle EPM Automation Platform</w:t>
      </w:r>
    </w:p>
    <w:p>
      <w:pPr>
        <w:pStyle w:val="Subtitle"/>
      </w:pPr>
      <w:r>
        <w:t>Capability Boundaries, Maximum-Automation Roadmap, and Governed AI Agent Design</w:t>
      </w:r>
    </w:p>
    <w:p>
      <w:pPr>
        <w:spacing w:before="200" w:after="480"/>
        <w:pBdr>
          <w:bottom w:val="single" w:sz="20" w:space="1" w:color="315FDD"/>
        </w:pBdr>
      </w:pPr>
    </w:p>
    <w:p>
      <w:pPr>
        <w:spacing w:after="640"/>
      </w:pPr>
      <w:r>
        <w:rPr>
          <w:rFonts w:ascii="Calibri" w:hAnsi="Calibri"/>
          <w:color w:val="40506A"/>
          <w:sz w:val="25"/>
        </w:rPr>
        <w:t>A practical product blueprint for reducing routine Oracle Planning navigation while preserving Oracle as the governed system of record.</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100" w:type="dxa"/>
              <w:start w:w="120" w:type="dxa"/>
              <w:bottom w:w="100" w:type="dxa"/>
              <w:end w:w="120" w:type="dxa"/>
            </w:tcMar>
            <w:shd w:fill="F3F6FA"/>
          </w:tcPr>
          <w:p>
            <w:r>
              <w:rPr>
                <w:rFonts w:ascii="Calibri" w:hAnsi="Calibri"/>
                <w:b/>
                <w:color w:val="40506A"/>
              </w:rPr>
              <w:t>Prepared by</w:t>
            </w:r>
          </w:p>
        </w:tc>
        <w:tc>
          <w:tcPr>
            <w:tcW w:type="dxa" w:w="7260"/>
            <w:vAlign w:val="center"/>
            <w:tcMar>
              <w:top w:w="100" w:type="dxa"/>
              <w:start w:w="120" w:type="dxa"/>
              <w:bottom w:w="100" w:type="dxa"/>
              <w:end w:w="120" w:type="dxa"/>
            </w:tcMar>
            <w:shd w:fill="F3F6FA"/>
          </w:tcPr>
          <w:p>
            <w:r>
              <w:t>BISP Solutions</w:t>
            </w:r>
          </w:p>
        </w:tc>
      </w:tr>
      <w:tr>
        <w:tc>
          <w:tcPr>
            <w:tcW w:type="dxa" w:w="2100"/>
            <w:vAlign w:val="center"/>
            <w:tcMar>
              <w:top w:w="100" w:type="dxa"/>
              <w:start w:w="120" w:type="dxa"/>
              <w:bottom w:w="100" w:type="dxa"/>
              <w:end w:w="120" w:type="dxa"/>
            </w:tcMar>
          </w:tcPr>
          <w:p>
            <w:r>
              <w:rPr>
                <w:rFonts w:ascii="Calibri" w:hAnsi="Calibri"/>
                <w:b/>
                <w:color w:val="40506A"/>
              </w:rPr>
              <w:t>Project</w:t>
            </w:r>
          </w:p>
        </w:tc>
        <w:tc>
          <w:tcPr>
            <w:tcW w:type="dxa" w:w="7260"/>
            <w:vAlign w:val="center"/>
            <w:tcMar>
              <w:top w:w="100" w:type="dxa"/>
              <w:start w:w="120" w:type="dxa"/>
              <w:bottom w:w="100" w:type="dxa"/>
              <w:end w:w="120" w:type="dxa"/>
            </w:tcMar>
          </w:tcPr>
          <w:p>
            <w:r>
              <w:t>Oracle EPM Planning Automation Platform</w:t>
            </w:r>
          </w:p>
        </w:tc>
      </w:tr>
      <w:tr>
        <w:tc>
          <w:tcPr>
            <w:tcW w:type="dxa" w:w="2100"/>
            <w:vAlign w:val="center"/>
            <w:tcMar>
              <w:top w:w="100" w:type="dxa"/>
              <w:start w:w="120" w:type="dxa"/>
              <w:bottom w:w="100" w:type="dxa"/>
              <w:end w:w="120" w:type="dxa"/>
            </w:tcMar>
          </w:tcPr>
          <w:p>
            <w:r>
              <w:rPr>
                <w:rFonts w:ascii="Calibri" w:hAnsi="Calibri"/>
                <w:b/>
                <w:color w:val="40506A"/>
              </w:rPr>
              <w:t>Version</w:t>
            </w:r>
          </w:p>
        </w:tc>
        <w:tc>
          <w:tcPr>
            <w:tcW w:type="dxa" w:w="7260"/>
            <w:vAlign w:val="center"/>
            <w:tcMar>
              <w:top w:w="100" w:type="dxa"/>
              <w:start w:w="120" w:type="dxa"/>
              <w:bottom w:w="100" w:type="dxa"/>
              <w:end w:w="120" w:type="dxa"/>
            </w:tcMar>
          </w:tcPr>
          <w:p>
            <w:r>
              <w:t>1.0 | 03 August 2026</w:t>
            </w:r>
          </w:p>
        </w:tc>
      </w:tr>
    </w:tbl>
    <w:p>
      <w:pPr>
        <w:spacing w:after="480"/>
      </w:pPr>
    </w:p>
    <w:p>
      <w:pPr>
        <w:jc w:val="center"/>
      </w:pPr>
      <w:r>
        <w:rPr>
          <w:rFonts w:ascii="Calibri" w:hAnsi="Calibri"/>
          <w:i/>
          <w:color w:val="6B778C"/>
          <w:sz w:val="19"/>
        </w:rPr>
        <w:t>Audience: Oracle EPM consultants, Planning administrators, finance teams, process owners, and platform architects</w:t>
      </w:r>
    </w:p>
    <w:p>
      <w:r>
        <w:br w:type="page"/>
      </w:r>
    </w:p>
    <w:p>
      <w:pPr>
        <w:pStyle w:val="Heading1"/>
      </w:pPr>
      <w:r>
        <w:t>How to use this guide</w:t>
      </w:r>
    </w:p>
    <w:p>
      <w:r>
        <w:t>This document separates current capability from realistic future capability. A feature is described as current only when it exists in the checked project. Potential capability means Oracle exposes a supported REST API or EPM Automate command, but the platform service and user experience still need implementation and testing.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DEF7ED"/>
          </w:tcPr>
          <w:p>
            <w:pPr>
              <w:spacing w:after="0"/>
            </w:pPr>
            <w:r>
              <w:rPr>
                <w:rFonts w:ascii="Calibri" w:hAnsi="Calibri"/>
                <w:b/>
                <w:color w:val="08765A"/>
              </w:rPr>
              <w:t xml:space="preserve">Core product position: </w:t>
            </w:r>
            <w:r>
              <w:rPr>
                <w:rFonts w:ascii="Calibri" w:hAnsi="Calibri"/>
                <w:color w:val="0B172A"/>
              </w:rPr>
              <w:t>Business users should complete routine Planning work in BISP Automation. Oracle remains the design and governance console for application artifacts that must be authored or administered there.</w:t>
            </w:r>
          </w:p>
        </w:tc>
      </w:tr>
    </w:tbl>
    <w:p>
      <w:pPr>
        <w:spacing w:after="40"/>
      </w:pPr>
    </w:p>
    <w:p>
      <w:pPr>
        <w:pStyle w:val="Heading2"/>
      </w:pPr>
      <w:r>
        <w:t>Contents</w:t>
      </w:r>
    </w:p>
    <w:p>
      <w:pPr>
        <w:spacing w:after="80"/>
        <w:ind w:left="518" w:hanging="346"/>
      </w:pPr>
      <w:r>
        <w:t>1.  Executive conclusion</w:t>
      </w:r>
    </w:p>
    <w:p>
      <w:pPr>
        <w:spacing w:after="80"/>
        <w:ind w:left="518" w:hanging="346"/>
      </w:pPr>
      <w:r>
        <w:t>2.  What the platform supports today</w:t>
      </w:r>
    </w:p>
    <w:p>
      <w:pPr>
        <w:spacing w:after="80"/>
        <w:ind w:left="518" w:hanging="346"/>
      </w:pPr>
      <w:r>
        <w:t>3.  What can move out of the Oracle Planning UI</w:t>
      </w:r>
    </w:p>
    <w:p>
      <w:pPr>
        <w:spacing w:after="80"/>
        <w:ind w:left="518" w:hanging="346"/>
      </w:pPr>
      <w:r>
        <w:t>4.  What must remain in Oracle</w:t>
      </w:r>
    </w:p>
    <w:p>
      <w:pPr>
        <w:spacing w:after="80"/>
        <w:ind w:left="518" w:hanging="346"/>
      </w:pPr>
      <w:r>
        <w:t>5.  Target operating model by user persona</w:t>
      </w:r>
    </w:p>
    <w:p>
      <w:pPr>
        <w:spacing w:after="80"/>
        <w:ind w:left="518" w:hanging="346"/>
      </w:pPr>
      <w:r>
        <w:t>6.  AI agent operating model, capabilities, and limitations</w:t>
      </w:r>
    </w:p>
    <w:p>
      <w:pPr>
        <w:spacing w:after="80"/>
        <w:ind w:left="518" w:hanging="346"/>
      </w:pPr>
      <w:r>
        <w:t>7.  How the current architecture supports the agent</w:t>
      </w:r>
    </w:p>
    <w:p>
      <w:pPr>
        <w:spacing w:after="80"/>
        <w:ind w:left="518" w:hanging="346"/>
      </w:pPr>
      <w:r>
        <w:t>8.  Areas of improvement and maximum-automation roadmap</w:t>
      </w:r>
    </w:p>
    <w:p>
      <w:pPr>
        <w:spacing w:after="80"/>
        <w:ind w:left="518" w:hanging="346"/>
      </w:pPr>
      <w:r>
        <w:t>9.  SQLite database model and inspection appendix</w:t>
      </w:r>
    </w:p>
    <w:p>
      <w:pPr>
        <w:pStyle w:val="Heading1"/>
      </w:pPr>
      <w:r>
        <w:t>1. Executive conclusion</w:t>
      </w:r>
    </w:p>
    <w:p>
      <w:r>
        <w:t>The practical target is not to replace Oracle Planning. The target is to make BISP Automation the daily operating surface for repeatable, governed work while Oracle remains the authoritative application and artifact-design environment.</w:t>
      </w:r>
    </w:p>
    <w:tbl>
      <w:tblPr>
        <w:tblStyle w:val="TableGrid"/>
        <w:tblW w:type="dxa" w:w="9360"/>
        <w:tblLayout w:type="fixed"/>
        <w:tblLook w:firstColumn="1" w:firstRow="1" w:lastColumn="0" w:lastRow="0" w:noHBand="0" w:noVBand="1" w:val="04A0"/>
        <w:jc w:val="left"/>
        <w:tblInd w:w="120" w:type="dxa"/>
      </w:tblPr>
      <w:tblGrid>
        <w:gridCol w:w="1900"/>
        <w:gridCol w:w="3700"/>
        <w:gridCol w:w="3760"/>
      </w:tblGrid>
      <w:tr>
        <w:trPr>
          <w:tblHeader w:val="true"/>
          <w:cantSplit/>
        </w:trPr>
        <w:tc>
          <w:tcPr>
            <w:tcW w:type="dxa" w:w="1900"/>
            <w:vAlign w:val="center"/>
            <w:tcMar>
              <w:top w:w="100" w:type="dxa"/>
              <w:start w:w="120" w:type="dxa"/>
              <w:bottom w:w="100" w:type="dxa"/>
              <w:end w:w="120" w:type="dxa"/>
            </w:tcMar>
            <w:shd w:fill="254DCC"/>
          </w:tcPr>
          <w:p>
            <w:r>
              <w:rPr>
                <w:rFonts w:ascii="Calibri" w:hAnsi="Calibri"/>
                <w:b/>
                <w:color w:val="FFFFFF"/>
                <w:sz w:val="19"/>
              </w:rPr>
              <w:t>User group</w:t>
            </w:r>
          </w:p>
        </w:tc>
        <w:tc>
          <w:tcPr>
            <w:tcW w:type="dxa" w:w="3700"/>
            <w:vAlign w:val="center"/>
            <w:tcMar>
              <w:top w:w="100" w:type="dxa"/>
              <w:start w:w="120" w:type="dxa"/>
              <w:bottom w:w="100" w:type="dxa"/>
              <w:end w:w="120" w:type="dxa"/>
            </w:tcMar>
            <w:shd w:fill="254DCC"/>
          </w:tcPr>
          <w:p>
            <w:r>
              <w:rPr>
                <w:rFonts w:ascii="Calibri" w:hAnsi="Calibri"/>
                <w:b/>
                <w:color w:val="FFFFFF"/>
                <w:sz w:val="19"/>
              </w:rPr>
              <w:t>Realistic platform outcome</w:t>
            </w:r>
          </w:p>
        </w:tc>
        <w:tc>
          <w:tcPr>
            <w:tcW w:type="dxa" w:w="3760"/>
            <w:vAlign w:val="center"/>
            <w:tcMar>
              <w:top w:w="100" w:type="dxa"/>
              <w:start w:w="120" w:type="dxa"/>
              <w:bottom w:w="100" w:type="dxa"/>
              <w:end w:w="120" w:type="dxa"/>
            </w:tcMar>
            <w:shd w:fill="254DCC"/>
          </w:tcPr>
          <w:p>
            <w:r>
              <w:rPr>
                <w:rFonts w:ascii="Calibri" w:hAnsi="Calibri"/>
                <w:b/>
                <w:color w:val="FFFFFF"/>
                <w:sz w:val="19"/>
              </w:rPr>
              <w:t>Residual Oracle usage</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Finance and planners</w:t>
            </w:r>
          </w:p>
        </w:tc>
        <w:tc>
          <w:tcPr>
            <w:tcW w:type="dxa" w:w="3700"/>
            <w:shd w:fill="F3F6FA"/>
            <w:vAlign w:val="center"/>
            <w:tcMar>
              <w:top w:w="100" w:type="dxa"/>
              <w:start w:w="120" w:type="dxa"/>
              <w:bottom w:w="100" w:type="dxa"/>
              <w:end w:w="120" w:type="dxa"/>
            </w:tcMar>
          </w:tcPr>
          <w:p>
            <w:pPr>
              <w:spacing w:after="40" w:line="269" w:lineRule="auto"/>
            </w:pPr>
            <w:r>
              <w:rPr>
                <w:rFonts w:ascii="Calibri" w:hAnsi="Calibri"/>
                <w:color w:val="0B172A"/>
                <w:sz w:val="18"/>
              </w:rPr>
              <w:t>80-95% of routine run, monitor, input-file, and report activity</w:t>
            </w:r>
          </w:p>
        </w:tc>
        <w:tc>
          <w:tcPr>
            <w:tcW w:type="dxa" w:w="3760"/>
            <w:shd w:fill="F3F6FA"/>
            <w:vAlign w:val="center"/>
            <w:tcMar>
              <w:top w:w="100" w:type="dxa"/>
              <w:start w:w="120" w:type="dxa"/>
              <w:bottom w:w="100" w:type="dxa"/>
              <w:end w:w="120" w:type="dxa"/>
            </w:tcMar>
          </w:tcPr>
          <w:p>
            <w:pPr>
              <w:spacing w:after="40" w:line="269" w:lineRule="auto"/>
            </w:pPr>
            <w:r>
              <w:rPr>
                <w:rFonts w:ascii="Calibri" w:hAnsi="Calibri"/>
                <w:color w:val="0B172A"/>
                <w:sz w:val="18"/>
              </w:rPr>
              <w:t>Forms or Smart View for ad hoc analysis and unsupported approvals</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Process operators</w:t>
            </w:r>
          </w:p>
        </w:tc>
        <w:tc>
          <w:tcPr>
            <w:tcW w:type="dxa" w:w="3700"/>
            <w:vAlign w:val="center"/>
            <w:tcMar>
              <w:top w:w="100" w:type="dxa"/>
              <w:start w:w="120" w:type="dxa"/>
              <w:bottom w:w="100" w:type="dxa"/>
              <w:end w:w="120" w:type="dxa"/>
            </w:tcMar>
          </w:tcPr>
          <w:p>
            <w:pPr>
              <w:spacing w:after="40" w:line="269" w:lineRule="auto"/>
            </w:pPr>
            <w:r>
              <w:rPr>
                <w:rFonts w:ascii="Calibri" w:hAnsi="Calibri"/>
                <w:color w:val="0B172A"/>
                <w:sz w:val="18"/>
              </w:rPr>
              <w:t>90%+ of approved recurring operations</w:t>
            </w:r>
          </w:p>
        </w:tc>
        <w:tc>
          <w:tcPr>
            <w:tcW w:type="dxa" w:w="3760"/>
            <w:vAlign w:val="center"/>
            <w:tcMar>
              <w:top w:w="100" w:type="dxa"/>
              <w:start w:w="120" w:type="dxa"/>
              <w:bottom w:w="100" w:type="dxa"/>
              <w:end w:w="120" w:type="dxa"/>
            </w:tcMar>
          </w:tcPr>
          <w:p>
            <w:pPr>
              <w:spacing w:after="40" w:line="269" w:lineRule="auto"/>
            </w:pPr>
            <w:r>
              <w:rPr>
                <w:rFonts w:ascii="Calibri" w:hAnsi="Calibri"/>
                <w:color w:val="0B172A"/>
                <w:sz w:val="18"/>
              </w:rPr>
              <w:t>Exceptional troubleshooting only</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EPM consultants</w:t>
            </w:r>
          </w:p>
        </w:tc>
        <w:tc>
          <w:tcPr>
            <w:tcW w:type="dxa" w:w="3700"/>
            <w:shd w:fill="F3F6FA"/>
            <w:vAlign w:val="center"/>
            <w:tcMar>
              <w:top w:w="100" w:type="dxa"/>
              <w:start w:w="120" w:type="dxa"/>
              <w:bottom w:w="100" w:type="dxa"/>
              <w:end w:w="120" w:type="dxa"/>
            </w:tcMar>
          </w:tcPr>
          <w:p>
            <w:pPr>
              <w:spacing w:after="40" w:line="269" w:lineRule="auto"/>
            </w:pPr>
            <w:r>
              <w:rPr>
                <w:rFonts w:ascii="Calibri" w:hAnsi="Calibri"/>
                <w:color w:val="0B172A"/>
                <w:sz w:val="18"/>
              </w:rPr>
              <w:t>60-80% of execution, validation, and deployment support</w:t>
            </w:r>
          </w:p>
        </w:tc>
        <w:tc>
          <w:tcPr>
            <w:tcW w:type="dxa" w:w="3760"/>
            <w:shd w:fill="F3F6FA"/>
            <w:vAlign w:val="center"/>
            <w:tcMar>
              <w:top w:w="100" w:type="dxa"/>
              <w:start w:w="120" w:type="dxa"/>
              <w:bottom w:w="100" w:type="dxa"/>
              <w:end w:w="120" w:type="dxa"/>
            </w:tcMar>
          </w:tcPr>
          <w:p>
            <w:pPr>
              <w:spacing w:after="40" w:line="269" w:lineRule="auto"/>
            </w:pPr>
            <w:r>
              <w:rPr>
                <w:rFonts w:ascii="Calibri" w:hAnsi="Calibri"/>
                <w:color w:val="0B172A"/>
                <w:sz w:val="18"/>
              </w:rPr>
              <w:t>Artifact design, mapping design, calculation design, and advanced diagnostics</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Service administrators</w:t>
            </w:r>
          </w:p>
        </w:tc>
        <w:tc>
          <w:tcPr>
            <w:tcW w:type="dxa" w:w="3700"/>
            <w:vAlign w:val="center"/>
            <w:tcMar>
              <w:top w:w="100" w:type="dxa"/>
              <w:start w:w="120" w:type="dxa"/>
              <w:bottom w:w="100" w:type="dxa"/>
              <w:end w:w="120" w:type="dxa"/>
            </w:tcMar>
          </w:tcPr>
          <w:p>
            <w:pPr>
              <w:spacing w:after="40" w:line="269" w:lineRule="auto"/>
            </w:pPr>
            <w:r>
              <w:rPr>
                <w:rFonts w:ascii="Calibri" w:hAnsi="Calibri"/>
                <w:color w:val="0B172A"/>
                <w:sz w:val="18"/>
              </w:rPr>
              <w:t>50-75% after maintenance and security automation</w:t>
            </w:r>
          </w:p>
        </w:tc>
        <w:tc>
          <w:tcPr>
            <w:tcW w:type="dxa" w:w="3760"/>
            <w:vAlign w:val="center"/>
            <w:tcMar>
              <w:top w:w="100" w:type="dxa"/>
              <w:start w:w="120" w:type="dxa"/>
              <w:bottom w:w="100" w:type="dxa"/>
              <w:end w:w="120" w:type="dxa"/>
            </w:tcMar>
          </w:tcPr>
          <w:p>
            <w:pPr>
              <w:spacing w:after="40" w:line="269" w:lineRule="auto"/>
            </w:pPr>
            <w:r>
              <w:rPr>
                <w:rFonts w:ascii="Calibri" w:hAnsi="Calibri"/>
                <w:color w:val="0B172A"/>
                <w:sz w:val="18"/>
              </w:rPr>
              <w:t>Environment setup, release-specific configuration, and Oracle support workflows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D8"/>
          </w:tcPr>
          <w:p>
            <w:pPr>
              <w:spacing w:after="0"/>
            </w:pPr>
            <w:r>
              <w:rPr>
                <w:rFonts w:ascii="Calibri" w:hAnsi="Calibri"/>
                <w:b/>
                <w:color w:val="A75B05"/>
              </w:rPr>
              <w:t xml:space="preserve">Important limitation: </w:t>
            </w:r>
            <w:r>
              <w:rPr>
                <w:rFonts w:ascii="Calibri" w:hAnsi="Calibri"/>
                <w:color w:val="0B172A"/>
              </w:rPr>
              <w:t>No external platform can guarantee that users never visit Oracle. REST and EPM Automate cover many administrative actions, but Oracle-specific design screens, newly released features, and some diagnostics remain UI-only or configuration-first.</w:t>
            </w:r>
          </w:p>
        </w:tc>
      </w:tr>
    </w:tbl>
    <w:p>
      <w:pPr>
        <w:spacing w:after="40"/>
      </w:pPr>
    </w:p>
    <w:p>
      <w:pPr>
        <w:pStyle w:val="Heading1"/>
      </w:pPr>
      <w:r>
        <w:t>2. What the platform supports today</w:t>
      </w:r>
    </w:p>
    <w:p>
      <w:r>
        <w:t>The checked project already has a strong automation core. The capabilities below are implemented, tested, and exposed through the command line, web workspace, or both.</w:t>
      </w:r>
    </w:p>
    <w:tbl>
      <w:tblPr>
        <w:tblStyle w:val="TableGrid"/>
        <w:tblW w:type="dxa" w:w="9360"/>
        <w:tblLayout w:type="fixed"/>
        <w:tblLook w:firstColumn="1" w:firstRow="1" w:lastColumn="0" w:lastRow="0" w:noHBand="0" w:noVBand="1" w:val="04A0"/>
        <w:jc w:val="left"/>
        <w:tblInd w:w="120" w:type="dxa"/>
      </w:tblPr>
      <w:tblGrid>
        <w:gridCol w:w="1900"/>
        <w:gridCol w:w="5860"/>
        <w:gridCol w:w="1600"/>
      </w:tblGrid>
      <w:tr>
        <w:trPr>
          <w:tblHeader w:val="true"/>
          <w:cantSplit/>
        </w:trPr>
        <w:tc>
          <w:tcPr>
            <w:tcW w:type="dxa" w:w="1900"/>
            <w:vAlign w:val="center"/>
            <w:tcMar>
              <w:top w:w="100" w:type="dxa"/>
              <w:start w:w="120" w:type="dxa"/>
              <w:bottom w:w="100" w:type="dxa"/>
              <w:end w:w="120" w:type="dxa"/>
            </w:tcMar>
            <w:shd w:fill="254DCC"/>
          </w:tcPr>
          <w:p>
            <w:r>
              <w:rPr>
                <w:rFonts w:ascii="Calibri" w:hAnsi="Calibri"/>
                <w:b/>
                <w:color w:val="FFFFFF"/>
                <w:sz w:val="19"/>
              </w:rPr>
              <w:t>Domain</w:t>
            </w:r>
          </w:p>
        </w:tc>
        <w:tc>
          <w:tcPr>
            <w:tcW w:type="dxa" w:w="5860"/>
            <w:vAlign w:val="center"/>
            <w:tcMar>
              <w:top w:w="100" w:type="dxa"/>
              <w:start w:w="120" w:type="dxa"/>
              <w:bottom w:w="100" w:type="dxa"/>
              <w:end w:w="120" w:type="dxa"/>
            </w:tcMar>
            <w:shd w:fill="254DCC"/>
          </w:tcPr>
          <w:p>
            <w:r>
              <w:rPr>
                <w:rFonts w:ascii="Calibri" w:hAnsi="Calibri"/>
                <w:b/>
                <w:color w:val="FFFFFF"/>
                <w:sz w:val="19"/>
              </w:rPr>
              <w:t>Current behavior</w:t>
            </w:r>
          </w:p>
        </w:tc>
        <w:tc>
          <w:tcPr>
            <w:tcW w:type="dxa" w:w="1600"/>
            <w:vAlign w:val="center"/>
            <w:tcMar>
              <w:top w:w="100" w:type="dxa"/>
              <w:start w:w="120" w:type="dxa"/>
              <w:bottom w:w="100" w:type="dxa"/>
              <w:end w:w="120" w:type="dxa"/>
            </w:tcMar>
            <w:shd w:fill="254DCC"/>
          </w:tcPr>
          <w:p>
            <w:r>
              <w:rPr>
                <w:rFonts w:ascii="Calibri" w:hAnsi="Calibri"/>
                <w:b/>
                <w:color w:val="FFFFFF"/>
                <w:sz w:val="19"/>
              </w:rPr>
              <w:t>Status</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Identity and governance</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Platform users, four roles, server-side permissions, CSRF protection, login audit, execution attribution</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Oracle connectivity</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Cloud/on-premise URL handling, Basic Authentication, session reuse, application verification, health check</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Metadata import</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Local upload or existing Inbox file, saved job execution, monitoring, logs, optional cube refresh</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Native data import</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Saved Planning import job, upload/Inbox selection, replacement behavior, status and error handling</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Data Integration</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Registered integration selection, periods, modes, file override, EPM Automate/REST strategy</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Business Rules</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Rule selection, runtime prompt values, execution and monitoring</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Oracle Pipelines</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Discovery/registration, variable and file preflight, execution, stage-aware display</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Data Maps</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Data Map selection, clear-target choice, member/exclusion overrides, monitoring</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Planning variables</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Discover, create, and safely update application- or cube-scoped substitution variables</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Cube refresh</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Discover or enter saved Refresh Database job, submit, monitor, and notify</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Reports</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Register report definitions, use form/data-slice extraction, generate Excel artifacts, download later</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Planning Processes</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Governed wrapper around an Oracle Pipeline with preflight, optional controls, approval, and reusable presets</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Scheduling</w:t>
            </w:r>
          </w:p>
        </w:tc>
        <w:tc>
          <w:tcPr>
            <w:tcW w:type="dxa" w:w="5860"/>
            <w:shd w:fill="F3F6FA"/>
            <w:vAlign w:val="center"/>
            <w:tcMar>
              <w:top w:w="100" w:type="dxa"/>
              <w:start w:w="120" w:type="dxa"/>
              <w:bottom w:w="100" w:type="dxa"/>
              <w:end w:w="120" w:type="dxa"/>
            </w:tcMar>
          </w:tcPr>
          <w:p>
            <w:pPr>
              <w:spacing w:after="40" w:line="269" w:lineRule="auto"/>
            </w:pPr>
            <w:r>
              <w:rPr>
                <w:rFonts w:ascii="Calibri" w:hAnsi="Calibri"/>
                <w:color w:val="0B172A"/>
                <w:sz w:val="18"/>
              </w:rPr>
              <w:t>One-time/daily/weekly/monthly approved Process execution with timezone and duplicate-run protection</w:t>
            </w:r>
          </w:p>
        </w:tc>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Operations and audit</w:t>
            </w:r>
          </w:p>
        </w:tc>
        <w:tc>
          <w:tcPr>
            <w:tcW w:type="dxa" w:w="5860"/>
            <w:vAlign w:val="center"/>
            <w:tcMar>
              <w:top w:w="100" w:type="dxa"/>
              <w:start w:w="120" w:type="dxa"/>
              <w:bottom w:w="100" w:type="dxa"/>
              <w:end w:w="120" w:type="dxa"/>
            </w:tcMar>
          </w:tcPr>
          <w:p>
            <w:pPr>
              <w:spacing w:after="40" w:line="269" w:lineRule="auto"/>
            </w:pPr>
            <w:r>
              <w:rPr>
                <w:rFonts w:ascii="Calibri" w:hAnsi="Calibri"/>
                <w:color w:val="0B172A"/>
                <w:sz w:val="18"/>
              </w:rPr>
              <w:t>Durable workflow/step history, logs, artifacts, notifications, actor and trigger source</w:t>
            </w:r>
          </w:p>
        </w:tc>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Implemented</w:t>
            </w:r>
          </w:p>
        </w:tc>
      </w:tr>
    </w:tbl>
    <w:p>
      <w:pPr>
        <w:spacing w:after="40"/>
      </w:pPr>
    </w:p>
    <w:p>
      <w:pPr>
        <w:pStyle w:val="Heading2"/>
      </w:pPr>
      <w:r>
        <w:t>Current architectural strengths</w:t>
      </w:r>
    </w:p>
    <w:p>
      <w:pPr>
        <w:pStyle w:val="ListBullet"/>
      </w:pPr>
      <w:r>
        <w:t>One reusable Oracle client owns authentication, HTTP behavior, timeouts, headers, and common errors.</w:t>
      </w:r>
    </w:p>
    <w:p>
      <w:pPr>
        <w:pStyle w:val="ListBullet"/>
      </w:pPr>
      <w:r>
        <w:t>Application services are independent of the UI, allowing the same capability to be used later from Excel, an API, a scheduler, or an AI agent.</w:t>
      </w:r>
    </w:p>
    <w:p>
      <w:pPr>
        <w:pStyle w:val="ListBullet"/>
      </w:pPr>
      <w:r>
        <w:t>Typed request models and preflight validation prevent malformed Oracle calls from becoming ad hoc scripts.</w:t>
      </w:r>
    </w:p>
    <w:p>
      <w:pPr>
        <w:pStyle w:val="ListBullet"/>
      </w:pPr>
      <w:r>
        <w:t>Workflow execution is fail-fast and persists each step, result, error, actor, and trigger source.</w:t>
      </w:r>
    </w:p>
    <w:p>
      <w:pPr>
        <w:pStyle w:val="ListBullet"/>
      </w:pPr>
      <w:r>
        <w:t>The platform supports local registrations only where Oracle discovery is incomplete; live Oracle artifacts remain the preferred source.</w:t>
      </w:r>
    </w:p>
    <w:p>
      <w:pPr>
        <w:pStyle w:val="Heading1"/>
      </w:pPr>
      <w:r>
        <w:t>3. What can move out of the Oracle Planning UI</w:t>
      </w:r>
    </w:p>
    <w:p>
      <w:r>
        <w:t>Oracle documents REST APIs as an alternative for many administrative tasks. Planning APIs currently cover applications, jobs, data slices, form-data export, dimensions, members, Planning Units, user preferences, user variables, substitution variables, and documents. EPM Automate adds broad remote administration, file transfer, snapshots, audits, maintenance, data and metadata movement, and environment operations.</w:t>
      </w:r>
    </w:p>
    <w:p>
      <w:pPr>
        <w:pStyle w:val="Heading2"/>
      </w:pPr>
      <w:r>
        <w:t>3.1 High-value operations that should live in BISP Automation</w:t>
      </w:r>
    </w:p>
    <w:tbl>
      <w:tblPr>
        <w:tblStyle w:val="TableGrid"/>
        <w:tblW w:type="dxa" w:w="9360"/>
        <w:tblLayout w:type="fixed"/>
        <w:tblLook w:firstColumn="1" w:firstRow="1" w:lastColumn="0" w:lastRow="0" w:noHBand="0" w:noVBand="1" w:val="04A0"/>
        <w:jc w:val="left"/>
        <w:tblInd w:w="120" w:type="dxa"/>
      </w:tblPr>
      <w:tblGrid>
        <w:gridCol w:w="2200"/>
        <w:gridCol w:w="4540"/>
        <w:gridCol w:w="2620"/>
      </w:tblGrid>
      <w:tr>
        <w:trPr>
          <w:tblHeader w:val="true"/>
          <w:cantSplit/>
        </w:trPr>
        <w:tc>
          <w:tcPr>
            <w:tcW w:type="dxa" w:w="2200"/>
            <w:vAlign w:val="center"/>
            <w:tcMar>
              <w:top w:w="100" w:type="dxa"/>
              <w:start w:w="120" w:type="dxa"/>
              <w:bottom w:w="100" w:type="dxa"/>
              <w:end w:w="120" w:type="dxa"/>
            </w:tcMar>
            <w:shd w:fill="254DCC"/>
          </w:tcPr>
          <w:p>
            <w:r>
              <w:rPr>
                <w:rFonts w:ascii="Calibri" w:hAnsi="Calibri"/>
                <w:b/>
                <w:color w:val="FFFFFF"/>
                <w:sz w:val="19"/>
              </w:rPr>
              <w:t>Capability</w:t>
            </w:r>
          </w:p>
        </w:tc>
        <w:tc>
          <w:tcPr>
            <w:tcW w:type="dxa" w:w="4540"/>
            <w:vAlign w:val="center"/>
            <w:tcMar>
              <w:top w:w="100" w:type="dxa"/>
              <w:start w:w="120" w:type="dxa"/>
              <w:bottom w:w="100" w:type="dxa"/>
              <w:end w:w="120" w:type="dxa"/>
            </w:tcMar>
            <w:shd w:fill="254DCC"/>
          </w:tcPr>
          <w:p>
            <w:r>
              <w:rPr>
                <w:rFonts w:ascii="Calibri" w:hAnsi="Calibri"/>
                <w:b/>
                <w:color w:val="FFFFFF"/>
                <w:sz w:val="19"/>
              </w:rPr>
              <w:t>Recommended experience</w:t>
            </w:r>
          </w:p>
        </w:tc>
        <w:tc>
          <w:tcPr>
            <w:tcW w:type="dxa" w:w="2620"/>
            <w:vAlign w:val="center"/>
            <w:tcMar>
              <w:top w:w="100" w:type="dxa"/>
              <w:start w:w="120" w:type="dxa"/>
              <w:bottom w:w="100" w:type="dxa"/>
              <w:end w:w="120" w:type="dxa"/>
            </w:tcMar>
            <w:shd w:fill="254DCC"/>
          </w:tcPr>
          <w:p>
            <w:r>
              <w:rPr>
                <w:rFonts w:ascii="Calibri" w:hAnsi="Calibri"/>
                <w:b/>
                <w:color w:val="FFFFFF"/>
                <w:sz w:val="19"/>
              </w:rPr>
              <w:t>Implementation position</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Daily/weekly/monthly Planning cycles</w:t>
            </w:r>
          </w:p>
        </w:tc>
        <w:tc>
          <w:tcPr>
            <w:tcW w:type="dxa" w:w="4540"/>
            <w:shd w:fill="F3F6FA"/>
            <w:vAlign w:val="center"/>
            <w:tcMar>
              <w:top w:w="100" w:type="dxa"/>
              <w:start w:w="120" w:type="dxa"/>
              <w:bottom w:w="100" w:type="dxa"/>
              <w:end w:w="120" w:type="dxa"/>
            </w:tcMar>
          </w:tcPr>
          <w:p>
            <w:pPr>
              <w:spacing w:after="40" w:line="269" w:lineRule="auto"/>
            </w:pPr>
            <w:r>
              <w:rPr>
                <w:rFonts w:ascii="Calibri" w:hAnsi="Calibri"/>
                <w:color w:val="0B172A"/>
                <w:sz w:val="18"/>
              </w:rPr>
              <w:t>One approved Process with context, preflight, confirmation, monitoring, and evidence</w:t>
            </w:r>
          </w:p>
        </w:tc>
        <w:tc>
          <w:tcPr>
            <w:tcW w:type="dxa" w:w="2620"/>
            <w:shd w:fill="F3F6FA"/>
            <w:vAlign w:val="center"/>
            <w:tcMar>
              <w:top w:w="100" w:type="dxa"/>
              <w:start w:w="120" w:type="dxa"/>
              <w:bottom w:w="100" w:type="dxa"/>
              <w:end w:w="120" w:type="dxa"/>
            </w:tcMar>
          </w:tcPr>
          <w:p>
            <w:pPr>
              <w:spacing w:after="40" w:line="269" w:lineRule="auto"/>
            </w:pPr>
            <w:r>
              <w:rPr>
                <w:rFonts w:ascii="Calibri" w:hAnsi="Calibri"/>
                <w:color w:val="0B172A"/>
                <w:sz w:val="18"/>
              </w:rPr>
              <w:t>Continue current Process model</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File-driven metadata and data loads</w:t>
            </w:r>
          </w:p>
        </w:tc>
        <w:tc>
          <w:tcPr>
            <w:tcW w:type="dxa" w:w="4540"/>
            <w:vAlign w:val="center"/>
            <w:tcMar>
              <w:top w:w="100" w:type="dxa"/>
              <w:start w:w="120" w:type="dxa"/>
              <w:bottom w:w="100" w:type="dxa"/>
              <w:end w:w="120" w:type="dxa"/>
            </w:tcMar>
          </w:tcPr>
          <w:p>
            <w:pPr>
              <w:spacing w:after="40" w:line="269" w:lineRule="auto"/>
            </w:pPr>
            <w:r>
              <w:rPr>
                <w:rFonts w:ascii="Calibri" w:hAnsi="Calibri"/>
                <w:color w:val="0B172A"/>
                <w:sz w:val="18"/>
              </w:rPr>
              <w:t>Drag/drop or Inbox choice, duplicate replacement, mapped job selection, validation</w:t>
            </w:r>
          </w:p>
        </w:tc>
        <w:tc>
          <w:tcPr>
            <w:tcW w:type="dxa" w:w="2620"/>
            <w:vAlign w:val="center"/>
            <w:tcMar>
              <w:top w:w="100" w:type="dxa"/>
              <w:start w:w="120" w:type="dxa"/>
              <w:bottom w:w="100" w:type="dxa"/>
              <w:end w:w="120" w:type="dxa"/>
            </w:tcMar>
          </w:tcPr>
          <w:p>
            <w:pPr>
              <w:spacing w:after="40" w:line="269" w:lineRule="auto"/>
            </w:pPr>
            <w:r>
              <w:rPr>
                <w:rFonts w:ascii="Calibri" w:hAnsi="Calibri"/>
                <w:color w:val="0B172A"/>
                <w:sz w:val="18"/>
              </w:rPr>
              <w:t>Current; add templates and schema checks</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Rules, Pipelines, integrations, Data Maps</w:t>
            </w:r>
          </w:p>
        </w:tc>
        <w:tc>
          <w:tcPr>
            <w:tcW w:type="dxa" w:w="4540"/>
            <w:shd w:fill="F3F6FA"/>
            <w:vAlign w:val="center"/>
            <w:tcMar>
              <w:top w:w="100" w:type="dxa"/>
              <w:start w:w="120" w:type="dxa"/>
              <w:bottom w:w="100" w:type="dxa"/>
              <w:end w:w="120" w:type="dxa"/>
            </w:tcMar>
          </w:tcPr>
          <w:p>
            <w:pPr>
              <w:spacing w:after="40" w:line="269" w:lineRule="auto"/>
            </w:pPr>
            <w:r>
              <w:rPr>
                <w:rFonts w:ascii="Calibri" w:hAnsi="Calibri"/>
                <w:color w:val="0B172A"/>
                <w:sz w:val="18"/>
              </w:rPr>
              <w:t>Live catalog, guided parameters, safe defaults, clear impact summary</w:t>
            </w:r>
          </w:p>
        </w:tc>
        <w:tc>
          <w:tcPr>
            <w:tcW w:type="dxa" w:w="2620"/>
            <w:shd w:fill="F3F6FA"/>
            <w:vAlign w:val="center"/>
            <w:tcMar>
              <w:top w:w="100" w:type="dxa"/>
              <w:start w:w="120" w:type="dxa"/>
              <w:bottom w:w="100" w:type="dxa"/>
              <w:end w:w="120" w:type="dxa"/>
            </w:tcMar>
          </w:tcPr>
          <w:p>
            <w:pPr>
              <w:spacing w:after="40" w:line="269" w:lineRule="auto"/>
            </w:pPr>
            <w:r>
              <w:rPr>
                <w:rFonts w:ascii="Calibri" w:hAnsi="Calibri"/>
                <w:color w:val="0B172A"/>
                <w:sz w:val="18"/>
              </w:rPr>
              <w:t>Current; deepen discovery</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Reports and evidence packs</w:t>
            </w:r>
          </w:p>
        </w:tc>
        <w:tc>
          <w:tcPr>
            <w:tcW w:type="dxa" w:w="4540"/>
            <w:vAlign w:val="center"/>
            <w:tcMar>
              <w:top w:w="100" w:type="dxa"/>
              <w:start w:w="120" w:type="dxa"/>
              <w:bottom w:w="100" w:type="dxa"/>
              <w:end w:w="120" w:type="dxa"/>
            </w:tcMar>
          </w:tcPr>
          <w:p>
            <w:pPr>
              <w:spacing w:after="40" w:line="269" w:lineRule="auto"/>
            </w:pPr>
            <w:r>
              <w:rPr>
                <w:rFonts w:ascii="Calibri" w:hAnsi="Calibri"/>
                <w:color w:val="0B172A"/>
                <w:sz w:val="18"/>
              </w:rPr>
              <w:t>Run with POV, download Excel/PDF, bundle logs and reconciliation</w:t>
            </w:r>
          </w:p>
        </w:tc>
        <w:tc>
          <w:tcPr>
            <w:tcW w:type="dxa" w:w="2620"/>
            <w:vAlign w:val="center"/>
            <w:tcMar>
              <w:top w:w="100" w:type="dxa"/>
              <w:start w:w="120" w:type="dxa"/>
              <w:bottom w:w="100" w:type="dxa"/>
              <w:end w:w="120" w:type="dxa"/>
            </w:tcMar>
          </w:tcPr>
          <w:p>
            <w:pPr>
              <w:spacing w:after="40" w:line="269" w:lineRule="auto"/>
            </w:pPr>
            <w:r>
              <w:rPr>
                <w:rFonts w:ascii="Calibri" w:hAnsi="Calibri"/>
                <w:color w:val="0B172A"/>
                <w:sz w:val="18"/>
              </w:rPr>
              <w:t>Current Excel; extend Oracle report artifacts</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Approvals / Planning Units</w:t>
            </w:r>
          </w:p>
        </w:tc>
        <w:tc>
          <w:tcPr>
            <w:tcW w:type="dxa" w:w="454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Planner work queue, available action, annotation, promote/reject with confirmation</w:t>
            </w:r>
          </w:p>
        </w:tc>
        <w:tc>
          <w:tcPr>
            <w:tcW w:type="dxa" w:w="2620"/>
            <w:shd w:fill="F3F6FA"/>
            <w:vAlign w:val="center"/>
            <w:tcMar>
              <w:top w:w="100" w:type="dxa"/>
              <w:start w:w="120" w:type="dxa"/>
              <w:bottom w:w="100" w:type="dxa"/>
              <w:end w:w="120" w:type="dxa"/>
            </w:tcMar>
          </w:tcPr>
          <w:p>
            <w:pPr>
              <w:spacing w:after="40" w:line="269" w:lineRule="auto"/>
            </w:pPr>
            <w:r>
              <w:rPr>
                <w:rFonts w:ascii="Calibri" w:hAnsi="Calibri"/>
                <w:color w:val="0B172A"/>
                <w:sz w:val="18"/>
              </w:rPr>
              <w:t>Supported by Oracle REST; future</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User variables and preferences</w:t>
            </w:r>
          </w:p>
        </w:tc>
        <w:tc>
          <w:tcPr>
            <w:tcW w:type="dxa" w:w="4540"/>
            <w:vAlign w:val="center"/>
            <w:tcMar>
              <w:top w:w="100" w:type="dxa"/>
              <w:start w:w="120" w:type="dxa"/>
              <w:bottom w:w="100" w:type="dxa"/>
              <w:end w:w="120" w:type="dxa"/>
            </w:tcMar>
          </w:tcPr>
          <w:p>
            <w:pPr>
              <w:spacing w:after="40" w:line="269" w:lineRule="auto"/>
            </w:pPr>
            <w:r>
              <w:rPr>
                <w:rFonts w:ascii="Calibri" w:hAnsi="Calibri"/>
                <w:color w:val="0B172A"/>
                <w:sz w:val="18"/>
              </w:rPr>
              <w:t>Personal context page for entity, currency, scenario, and display preferences</w:t>
            </w:r>
          </w:p>
        </w:tc>
        <w:tc>
          <w:tcPr>
            <w:tcW w:type="dxa" w:w="2620"/>
            <w:vAlign w:val="center"/>
            <w:tcMar>
              <w:top w:w="100" w:type="dxa"/>
              <w:start w:w="120" w:type="dxa"/>
              <w:bottom w:w="100" w:type="dxa"/>
              <w:end w:w="120" w:type="dxa"/>
            </w:tcMar>
          </w:tcPr>
          <w:p>
            <w:pPr>
              <w:spacing w:after="40" w:line="269" w:lineRule="auto"/>
            </w:pPr>
            <w:r>
              <w:rPr>
                <w:rFonts w:ascii="Calibri" w:hAnsi="Calibri"/>
                <w:color w:val="0B172A"/>
                <w:sz w:val="18"/>
              </w:rPr>
              <w:t>Supported by Oracle REST; future</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Metadata/data export</w:t>
            </w:r>
          </w:p>
        </w:tc>
        <w:tc>
          <w:tcPr>
            <w:tcW w:type="dxa" w:w="4540"/>
            <w:shd w:fill="F3F6FA"/>
            <w:vAlign w:val="center"/>
            <w:tcMar>
              <w:top w:w="100" w:type="dxa"/>
              <w:start w:w="120" w:type="dxa"/>
              <w:bottom w:w="100" w:type="dxa"/>
              <w:end w:w="120" w:type="dxa"/>
            </w:tcMar>
          </w:tcPr>
          <w:p>
            <w:pPr>
              <w:spacing w:after="40" w:line="269" w:lineRule="auto"/>
            </w:pPr>
            <w:r>
              <w:rPr>
                <w:rFonts w:ascii="Calibri" w:hAnsi="Calibri"/>
                <w:color w:val="0B172A"/>
                <w:sz w:val="18"/>
              </w:rPr>
              <w:t>Select saved export job, run, monitor, and download output</w:t>
            </w:r>
          </w:p>
        </w:tc>
        <w:tc>
          <w:tcPr>
            <w:tcW w:type="dxa" w:w="2620"/>
            <w:shd w:fill="F3F6FA"/>
            <w:vAlign w:val="center"/>
            <w:tcMar>
              <w:top w:w="100" w:type="dxa"/>
              <w:start w:w="120" w:type="dxa"/>
              <w:bottom w:w="100" w:type="dxa"/>
              <w:end w:w="120" w:type="dxa"/>
            </w:tcMar>
          </w:tcPr>
          <w:p>
            <w:pPr>
              <w:spacing w:after="40" w:line="269" w:lineRule="auto"/>
            </w:pPr>
            <w:r>
              <w:rPr>
                <w:rFonts w:ascii="Calibri" w:hAnsi="Calibri"/>
                <w:color w:val="0B172A"/>
                <w:sz w:val="18"/>
              </w:rPr>
              <w:t>Supported by jobs/EPM Automate; future</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Security administration</w:t>
            </w:r>
          </w:p>
        </w:tc>
        <w:tc>
          <w:tcPr>
            <w:tcW w:type="dxa" w:w="4540"/>
            <w:vAlign w:val="center"/>
            <w:tcMar>
              <w:top w:w="100" w:type="dxa"/>
              <w:start w:w="120" w:type="dxa"/>
              <w:bottom w:w="100" w:type="dxa"/>
              <w:end w:w="120" w:type="dxa"/>
            </w:tcMar>
          </w:tcPr>
          <w:p>
            <w:pPr>
              <w:spacing w:after="40" w:line="269" w:lineRule="auto"/>
            </w:pPr>
            <w:r>
              <w:rPr>
                <w:rFonts w:ascii="Calibri" w:hAnsi="Calibri"/>
                <w:color w:val="0B172A"/>
                <w:sz w:val="18"/>
              </w:rPr>
              <w:t>User/group/role catalog, controlled assignments, access reports</w:t>
            </w:r>
          </w:p>
        </w:tc>
        <w:tc>
          <w:tcPr>
            <w:tcW w:type="dxa" w:w="2620"/>
            <w:vAlign w:val="center"/>
            <w:tcMar>
              <w:top w:w="100" w:type="dxa"/>
              <w:start w:w="120" w:type="dxa"/>
              <w:bottom w:w="100" w:type="dxa"/>
              <w:end w:w="120" w:type="dxa"/>
            </w:tcMar>
          </w:tcPr>
          <w:p>
            <w:pPr>
              <w:spacing w:after="40" w:line="269" w:lineRule="auto"/>
            </w:pPr>
            <w:r>
              <w:rPr>
                <w:rFonts w:ascii="Calibri" w:hAnsi="Calibri"/>
                <w:color w:val="0B172A"/>
                <w:sz w:val="18"/>
              </w:rPr>
              <w:t>Oracle infrastructure APIs exist; future and high risk</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Daily Maintenance and backups</w:t>
            </w:r>
          </w:p>
        </w:tc>
        <w:tc>
          <w:tcPr>
            <w:tcW w:type="dxa" w:w="4540"/>
            <w:shd w:fill="F3F6FA"/>
            <w:vAlign w:val="center"/>
            <w:tcMar>
              <w:top w:w="100" w:type="dxa"/>
              <w:start w:w="120" w:type="dxa"/>
              <w:bottom w:w="100" w:type="dxa"/>
              <w:end w:w="120" w:type="dxa"/>
            </w:tcMar>
          </w:tcPr>
          <w:p>
            <w:pPr>
              <w:spacing w:after="40" w:line="269" w:lineRule="auto"/>
            </w:pPr>
            <w:r>
              <w:rPr>
                <w:rFonts w:ascii="Calibri" w:hAnsi="Calibri"/>
                <w:color w:val="0B172A"/>
                <w:sz w:val="18"/>
              </w:rPr>
              <w:t>Maintenance readiness check, user warning, snapshot, activity report, retention</w:t>
            </w:r>
          </w:p>
        </w:tc>
        <w:tc>
          <w:tcPr>
            <w:tcW w:type="dxa" w:w="2620"/>
            <w:shd w:fill="F3F6FA"/>
            <w:vAlign w:val="center"/>
            <w:tcMar>
              <w:top w:w="100" w:type="dxa"/>
              <w:start w:w="120" w:type="dxa"/>
              <w:bottom w:w="100" w:type="dxa"/>
              <w:end w:w="120" w:type="dxa"/>
            </w:tcMar>
          </w:tcPr>
          <w:p>
            <w:pPr>
              <w:spacing w:after="40" w:line="269" w:lineRule="auto"/>
            </w:pPr>
            <w:r>
              <w:rPr>
                <w:rFonts w:ascii="Calibri" w:hAnsi="Calibri"/>
                <w:color w:val="0B172A"/>
                <w:sz w:val="18"/>
              </w:rPr>
              <w:t>EPM Automate supports; future</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Environment promotion</w:t>
            </w:r>
          </w:p>
        </w:tc>
        <w:tc>
          <w:tcPr>
            <w:tcW w:type="dxa" w:w="4540"/>
            <w:vAlign w:val="center"/>
            <w:tcMar>
              <w:top w:w="100" w:type="dxa"/>
              <w:start w:w="120" w:type="dxa"/>
              <w:bottom w:w="100" w:type="dxa"/>
              <w:end w:w="120" w:type="dxa"/>
            </w:tcMar>
          </w:tcPr>
          <w:p>
            <w:pPr>
              <w:spacing w:after="40" w:line="269" w:lineRule="auto"/>
            </w:pPr>
            <w:r>
              <w:rPr>
                <w:rFonts w:ascii="Calibri" w:hAnsi="Calibri"/>
                <w:color w:val="0B172A"/>
                <w:sz w:val="18"/>
              </w:rPr>
              <w:t>Export snapshot, copy/clone, import, smoke test, rollback evidence</w:t>
            </w:r>
          </w:p>
        </w:tc>
        <w:tc>
          <w:tcPr>
            <w:tcW w:type="dxa" w:w="2620"/>
            <w:vAlign w:val="center"/>
            <w:tcMar>
              <w:top w:w="100" w:type="dxa"/>
              <w:start w:w="120" w:type="dxa"/>
              <w:bottom w:w="100" w:type="dxa"/>
              <w:end w:w="120" w:type="dxa"/>
            </w:tcMar>
          </w:tcPr>
          <w:p>
            <w:pPr>
              <w:spacing w:after="40" w:line="269" w:lineRule="auto"/>
            </w:pPr>
            <w:r>
              <w:rPr>
                <w:rFonts w:ascii="Calibri" w:hAnsi="Calibri"/>
                <w:color w:val="0B172A"/>
                <w:sz w:val="18"/>
              </w:rPr>
              <w:t>Possible with EPM Automate; future and tightly governed</w:t>
            </w:r>
          </w:p>
        </w:tc>
      </w:tr>
    </w:tbl>
    <w:p>
      <w:pPr>
        <w:spacing w:after="40"/>
      </w:pPr>
    </w:p>
    <w:p>
      <w:pPr>
        <w:pStyle w:val="Heading2"/>
      </w:pPr>
      <w:r>
        <w:t>3.2 The correct meaning of 'almost no need to visit Planning'</w:t>
      </w:r>
    </w:p>
    <w:p>
      <w:pPr>
        <w:pStyle w:val="ListBullet"/>
      </w:pPr>
      <w:r>
        <w:t>Planners use BISP Automation for approved processes, load files, status, reports, and recurring operations.</w:t>
      </w:r>
    </w:p>
    <w:p>
      <w:pPr>
        <w:pStyle w:val="ListBullet"/>
      </w:pPr>
      <w:r>
        <w:t>Consultants use it for repeatable execution and diagnostics, but configure Oracle artifacts in Oracle when no supported creation API exists.</w:t>
      </w:r>
    </w:p>
    <w:p>
      <w:pPr>
        <w:pStyle w:val="ListBullet"/>
      </w:pPr>
      <w:r>
        <w:t>Administrators use it for monitored maintenance and provisioning after high-risk controls are implemented.</w:t>
      </w:r>
    </w:p>
    <w:p>
      <w:pPr>
        <w:pStyle w:val="ListBullet"/>
      </w:pPr>
      <w:r>
        <w:t>Oracle remains the source of truth. Our database stores orchestration, registrations, user access, schedules, and audit evidence—not Planning cube data as a shadow application.</w:t>
      </w:r>
    </w:p>
    <w:p>
      <w:pPr>
        <w:pStyle w:val="Heading1"/>
      </w:pPr>
      <w:r>
        <w:t>4. What cannot—or should not—be replaced</w:t>
      </w:r>
    </w:p>
    <w:p>
      <w:r>
        <w:t>A responsible enterprise platform distinguishes execution automation from artifact authoring. A technical workaround is not automatically a maintainable product feature.</w:t>
      </w:r>
    </w:p>
    <w:tbl>
      <w:tblPr>
        <w:tblStyle w:val="TableGrid"/>
        <w:tblW w:type="dxa" w:w="9360"/>
        <w:tblLayout w:type="fixed"/>
        <w:tblLook w:firstColumn="1" w:firstRow="1" w:lastColumn="0" w:lastRow="0" w:noHBand="0" w:noVBand="1" w:val="04A0"/>
        <w:jc w:val="left"/>
        <w:tblInd w:w="120" w:type="dxa"/>
      </w:tblPr>
      <w:tblGrid>
        <w:gridCol w:w="1900"/>
        <w:gridCol w:w="4560"/>
        <w:gridCol w:w="2900"/>
      </w:tblGrid>
      <w:tr>
        <w:trPr>
          <w:tblHeader w:val="true"/>
          <w:cantSplit/>
        </w:trPr>
        <w:tc>
          <w:tcPr>
            <w:tcW w:type="dxa" w:w="1900"/>
            <w:vAlign w:val="center"/>
            <w:tcMar>
              <w:top w:w="100" w:type="dxa"/>
              <w:start w:w="120" w:type="dxa"/>
              <w:bottom w:w="100" w:type="dxa"/>
              <w:end w:w="120" w:type="dxa"/>
            </w:tcMar>
            <w:shd w:fill="254DCC"/>
          </w:tcPr>
          <w:p>
            <w:r>
              <w:rPr>
                <w:rFonts w:ascii="Calibri" w:hAnsi="Calibri"/>
                <w:b/>
                <w:color w:val="FFFFFF"/>
                <w:sz w:val="19"/>
              </w:rPr>
              <w:t>Area</w:t>
            </w:r>
          </w:p>
        </w:tc>
        <w:tc>
          <w:tcPr>
            <w:tcW w:type="dxa" w:w="4560"/>
            <w:vAlign w:val="center"/>
            <w:tcMar>
              <w:top w:w="100" w:type="dxa"/>
              <w:start w:w="120" w:type="dxa"/>
              <w:bottom w:w="100" w:type="dxa"/>
              <w:end w:w="120" w:type="dxa"/>
            </w:tcMar>
            <w:shd w:fill="254DCC"/>
          </w:tcPr>
          <w:p>
            <w:r>
              <w:rPr>
                <w:rFonts w:ascii="Calibri" w:hAnsi="Calibri"/>
                <w:b/>
                <w:color w:val="FFFFFF"/>
                <w:sz w:val="19"/>
              </w:rPr>
              <w:t>Why Oracle remains necessary</w:t>
            </w:r>
          </w:p>
        </w:tc>
        <w:tc>
          <w:tcPr>
            <w:tcW w:type="dxa" w:w="2900"/>
            <w:vAlign w:val="center"/>
            <w:tcMar>
              <w:top w:w="100" w:type="dxa"/>
              <w:start w:w="120" w:type="dxa"/>
              <w:bottom w:w="100" w:type="dxa"/>
              <w:end w:w="120" w:type="dxa"/>
            </w:tcMar>
            <w:shd w:fill="254DCC"/>
          </w:tcPr>
          <w:p>
            <w:r>
              <w:rPr>
                <w:rFonts w:ascii="Calibri" w:hAnsi="Calibri"/>
                <w:b/>
                <w:color w:val="FFFFFF"/>
                <w:sz w:val="19"/>
              </w:rPr>
              <w:t>BISP responsibility</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Business Rule / ruleset design</w:t>
            </w:r>
          </w:p>
        </w:tc>
        <w:tc>
          <w:tcPr>
            <w:tcW w:type="dxa" w:w="4560"/>
            <w:shd w:fill="F3F6FA"/>
            <w:vAlign w:val="center"/>
            <w:tcMar>
              <w:top w:w="100" w:type="dxa"/>
              <w:start w:w="120" w:type="dxa"/>
              <w:bottom w:w="100" w:type="dxa"/>
              <w:end w:w="120" w:type="dxa"/>
            </w:tcMar>
          </w:tcPr>
          <w:p>
            <w:pPr>
              <w:spacing w:after="40" w:line="269" w:lineRule="auto"/>
            </w:pPr>
            <w:r>
              <w:rPr>
                <w:rFonts w:ascii="Calibri" w:hAnsi="Calibri"/>
                <w:color w:val="0B172A"/>
                <w:sz w:val="18"/>
              </w:rPr>
              <w:t>Calculation Manager design, validation, deployment, templates, and complex graphical rules</w:t>
            </w:r>
          </w:p>
        </w:tc>
        <w:tc>
          <w:tcPr>
            <w:tcW w:type="dxa" w:w="2900"/>
            <w:shd w:fill="F3F6FA"/>
            <w:vAlign w:val="center"/>
            <w:tcMar>
              <w:top w:w="100" w:type="dxa"/>
              <w:start w:w="120" w:type="dxa"/>
              <w:bottom w:w="100" w:type="dxa"/>
              <w:end w:w="120" w:type="dxa"/>
            </w:tcMar>
          </w:tcPr>
          <w:p>
            <w:pPr>
              <w:spacing w:after="40" w:line="269" w:lineRule="auto"/>
            </w:pPr>
            <w:r>
              <w:rPr>
                <w:rFonts w:ascii="Calibri" w:hAnsi="Calibri"/>
                <w:color w:val="0B172A"/>
                <w:sz w:val="18"/>
              </w:rPr>
              <w:t>Execute deployed rules from BISP</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Pipeline stage design</w:t>
            </w:r>
          </w:p>
        </w:tc>
        <w:tc>
          <w:tcPr>
            <w:tcW w:type="dxa" w:w="4560"/>
            <w:vAlign w:val="center"/>
            <w:tcMar>
              <w:top w:w="100" w:type="dxa"/>
              <w:start w:w="120" w:type="dxa"/>
              <w:bottom w:w="100" w:type="dxa"/>
              <w:end w:w="120" w:type="dxa"/>
            </w:tcMar>
          </w:tcPr>
          <w:p>
            <w:pPr>
              <w:spacing w:after="40" w:line="269" w:lineRule="auto"/>
            </w:pPr>
            <w:r>
              <w:rPr>
                <w:rFonts w:ascii="Calibri" w:hAnsi="Calibri"/>
                <w:color w:val="0B172A"/>
                <w:sz w:val="18"/>
              </w:rPr>
              <w:t>Stage order, job types, variable definitions, cross-instance setup, and pipeline mail settings</w:t>
            </w:r>
          </w:p>
        </w:tc>
        <w:tc>
          <w:tcPr>
            <w:tcW w:type="dxa" w:w="2900"/>
            <w:vAlign w:val="center"/>
            <w:tcMar>
              <w:top w:w="100" w:type="dxa"/>
              <w:start w:w="120" w:type="dxa"/>
              <w:bottom w:w="100" w:type="dxa"/>
              <w:end w:w="120" w:type="dxa"/>
            </w:tcMar>
          </w:tcPr>
          <w:p>
            <w:pPr>
              <w:spacing w:after="40" w:line="269" w:lineRule="auto"/>
            </w:pPr>
            <w:r>
              <w:rPr>
                <w:rFonts w:ascii="Calibri" w:hAnsi="Calibri"/>
                <w:color w:val="0B172A"/>
                <w:sz w:val="18"/>
              </w:rPr>
              <w:t>Discover, validate, and run the saved Pipeline</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Data Integration design</w:t>
            </w:r>
          </w:p>
        </w:tc>
        <w:tc>
          <w:tcPr>
            <w:tcW w:type="dxa" w:w="4560"/>
            <w:shd w:fill="F3F6FA"/>
            <w:vAlign w:val="center"/>
            <w:tcMar>
              <w:top w:w="100" w:type="dxa"/>
              <w:start w:w="120" w:type="dxa"/>
              <w:bottom w:w="100" w:type="dxa"/>
              <w:end w:w="120" w:type="dxa"/>
            </w:tcMar>
          </w:tcPr>
          <w:p>
            <w:pPr>
              <w:spacing w:after="40" w:line="269" w:lineRule="auto"/>
            </w:pPr>
            <w:r>
              <w:rPr>
                <w:rFonts w:ascii="Calibri" w:hAnsi="Calibri"/>
                <w:color w:val="0B172A"/>
                <w:sz w:val="18"/>
              </w:rPr>
              <w:t>Source/target applications, import formats, period/category mapping, dimension/member mappings, clear region</w:t>
            </w:r>
          </w:p>
        </w:tc>
        <w:tc>
          <w:tcPr>
            <w:tcW w:type="dxa" w:w="2900"/>
            <w:shd w:fill="F3F6FA"/>
            <w:vAlign w:val="center"/>
            <w:tcMar>
              <w:top w:w="100" w:type="dxa"/>
              <w:start w:w="120" w:type="dxa"/>
              <w:bottom w:w="100" w:type="dxa"/>
              <w:end w:w="120" w:type="dxa"/>
            </w:tcMar>
          </w:tcPr>
          <w:p>
            <w:pPr>
              <w:spacing w:after="40" w:line="269" w:lineRule="auto"/>
            </w:pPr>
            <w:r>
              <w:rPr>
                <w:rFonts w:ascii="Calibri" w:hAnsi="Calibri"/>
                <w:color w:val="0B172A"/>
                <w:sz w:val="18"/>
              </w:rPr>
              <w:t>Override permitted runtime values and input file</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Data Map / Smart Push design</w:t>
            </w:r>
          </w:p>
        </w:tc>
        <w:tc>
          <w:tcPr>
            <w:tcW w:type="dxa" w:w="4560"/>
            <w:vAlign w:val="center"/>
            <w:tcMar>
              <w:top w:w="100" w:type="dxa"/>
              <w:start w:w="120" w:type="dxa"/>
              <w:bottom w:w="100" w:type="dxa"/>
              <w:end w:w="120" w:type="dxa"/>
            </w:tcMar>
          </w:tcPr>
          <w:p>
            <w:pPr>
              <w:spacing w:after="40" w:line="269" w:lineRule="auto"/>
            </w:pPr>
            <w:r>
              <w:rPr>
                <w:rFonts w:ascii="Calibri" w:hAnsi="Calibri"/>
                <w:color w:val="0B172A"/>
                <w:sz w:val="18"/>
              </w:rPr>
              <w:t>Source/target cubes, mapping logic, exclusions, Smart Push attachment to forms</w:t>
            </w:r>
          </w:p>
        </w:tc>
        <w:tc>
          <w:tcPr>
            <w:tcW w:type="dxa" w:w="2900"/>
            <w:vAlign w:val="center"/>
            <w:tcMar>
              <w:top w:w="100" w:type="dxa"/>
              <w:start w:w="120" w:type="dxa"/>
              <w:bottom w:w="100" w:type="dxa"/>
              <w:end w:w="120" w:type="dxa"/>
            </w:tcMar>
          </w:tcPr>
          <w:p>
            <w:pPr>
              <w:spacing w:after="40" w:line="269" w:lineRule="auto"/>
            </w:pPr>
            <w:r>
              <w:rPr>
                <w:rFonts w:ascii="Calibri" w:hAnsi="Calibri"/>
                <w:color w:val="0B172A"/>
                <w:sz w:val="18"/>
              </w:rPr>
              <w:t>Run the configured Data Map with controlled POV overrides</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Form and dashboard authoring</w:t>
            </w:r>
          </w:p>
        </w:tc>
        <w:tc>
          <w:tcPr>
            <w:tcW w:type="dxa" w:w="4560"/>
            <w:shd w:fill="F3F6FA"/>
            <w:vAlign w:val="center"/>
            <w:tcMar>
              <w:top w:w="100" w:type="dxa"/>
              <w:start w:w="120" w:type="dxa"/>
              <w:bottom w:w="100" w:type="dxa"/>
              <w:end w:w="120" w:type="dxa"/>
            </w:tcMar>
          </w:tcPr>
          <w:p>
            <w:pPr>
              <w:spacing w:after="40" w:line="269" w:lineRule="auto"/>
            </w:pPr>
            <w:r>
              <w:rPr>
                <w:rFonts w:ascii="Calibri" w:hAnsi="Calibri"/>
                <w:color w:val="0B172A"/>
                <w:sz w:val="18"/>
              </w:rPr>
              <w:t>Layout, suppression, menus, validations, dashboards, navigation flows</w:t>
            </w:r>
          </w:p>
        </w:tc>
        <w:tc>
          <w:tcPr>
            <w:tcW w:type="dxa" w:w="2900"/>
            <w:shd w:fill="F3F6FA"/>
            <w:vAlign w:val="center"/>
            <w:tcMar>
              <w:top w:w="100" w:type="dxa"/>
              <w:start w:w="120" w:type="dxa"/>
              <w:bottom w:w="100" w:type="dxa"/>
              <w:end w:w="120" w:type="dxa"/>
            </w:tcMar>
          </w:tcPr>
          <w:p>
            <w:pPr>
              <w:spacing w:after="40" w:line="269" w:lineRule="auto"/>
            </w:pPr>
            <w:r>
              <w:rPr>
                <w:rFonts w:ascii="Calibri" w:hAnsi="Calibri"/>
                <w:color w:val="0B172A"/>
                <w:sz w:val="18"/>
              </w:rPr>
              <w:t>Use forms as extraction/report sources and link users back when needed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UDA and metadata modeling</w:t>
            </w:r>
          </w:p>
        </w:tc>
        <w:tc>
          <w:tcPr>
            <w:tcW w:type="dxa" w:w="4560"/>
            <w:vAlign w:val="center"/>
            <w:tcMar>
              <w:top w:w="100" w:type="dxa"/>
              <w:start w:w="120" w:type="dxa"/>
              <w:bottom w:w="100" w:type="dxa"/>
              <w:end w:w="120" w:type="dxa"/>
            </w:tcMar>
          </w:tcPr>
          <w:p>
            <w:pPr>
              <w:spacing w:after="40" w:line="269" w:lineRule="auto"/>
            </w:pPr>
            <w:r>
              <w:rPr>
                <w:rFonts w:ascii="Calibri" w:hAnsi="Calibri"/>
                <w:color w:val="0B172A"/>
                <w:sz w:val="18"/>
              </w:rPr>
              <w:t>Business definition, sparse/dense impact, hierarchy design, formulas, valid intersections</w:t>
            </w:r>
          </w:p>
        </w:tc>
        <w:tc>
          <w:tcPr>
            <w:tcW w:type="dxa" w:w="2900"/>
            <w:vAlign w:val="center"/>
            <w:tcMar>
              <w:top w:w="100" w:type="dxa"/>
              <w:start w:w="120" w:type="dxa"/>
              <w:bottom w:w="100" w:type="dxa"/>
              <w:end w:w="120" w:type="dxa"/>
            </w:tcMar>
          </w:tcPr>
          <w:p>
            <w:pPr>
              <w:spacing w:after="40" w:line="269" w:lineRule="auto"/>
            </w:pPr>
            <w:r>
              <w:rPr>
                <w:rFonts w:ascii="Calibri" w:hAnsi="Calibri"/>
                <w:color w:val="0B172A"/>
                <w:sz w:val="18"/>
              </w:rPr>
              <w:t>Automate approved metadata imports/exports; do not let an agent invent modeling decisions</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Security design</w:t>
            </w:r>
          </w:p>
        </w:tc>
        <w:tc>
          <w:tcPr>
            <w:tcW w:type="dxa" w:w="4560"/>
            <w:shd w:fill="F3F6FA"/>
            <w:vAlign w:val="center"/>
            <w:tcMar>
              <w:top w:w="100" w:type="dxa"/>
              <w:start w:w="120" w:type="dxa"/>
              <w:bottom w:w="100" w:type="dxa"/>
              <w:end w:w="120" w:type="dxa"/>
            </w:tcMar>
          </w:tcPr>
          <w:p>
            <w:pPr>
              <w:spacing w:after="40" w:line="269" w:lineRule="auto"/>
            </w:pPr>
            <w:r>
              <w:rPr>
                <w:rFonts w:ascii="Calibri" w:hAnsi="Calibri"/>
                <w:color w:val="0B172A"/>
                <w:sz w:val="18"/>
              </w:rPr>
              <w:t>Groups, roles, data access, approval ownership, cell-level security strategy</w:t>
            </w:r>
          </w:p>
        </w:tc>
        <w:tc>
          <w:tcPr>
            <w:tcW w:type="dxa" w:w="2900"/>
            <w:shd w:fill="F3F6FA"/>
            <w:vAlign w:val="center"/>
            <w:tcMar>
              <w:top w:w="100" w:type="dxa"/>
              <w:start w:w="120" w:type="dxa"/>
              <w:bottom w:w="100" w:type="dxa"/>
              <w:end w:w="120" w:type="dxa"/>
            </w:tcMar>
          </w:tcPr>
          <w:p>
            <w:pPr>
              <w:spacing w:after="40" w:line="269" w:lineRule="auto"/>
            </w:pPr>
            <w:r>
              <w:rPr>
                <w:rFonts w:ascii="Calibri" w:hAnsi="Calibri"/>
                <w:color w:val="0B172A"/>
                <w:sz w:val="18"/>
              </w:rPr>
              <w:t>Automate approved assignments and evidence after governance is defined</w:t>
            </w:r>
          </w:p>
        </w:tc>
      </w:tr>
      <w:tr>
        <w:trPr>
          <w:cantSplit/>
        </w:trPr>
        <w:tc>
          <w:tcPr>
            <w:tcW w:type="dxa" w:w="1900"/>
            <w:vAlign w:val="center"/>
            <w:tcMar>
              <w:top w:w="100" w:type="dxa"/>
              <w:start w:w="120" w:type="dxa"/>
              <w:bottom w:w="100" w:type="dxa"/>
              <w:end w:w="120" w:type="dxa"/>
            </w:tcMar>
          </w:tcPr>
          <w:p>
            <w:pPr>
              <w:spacing w:after="40" w:line="269" w:lineRule="auto"/>
            </w:pPr>
            <w:r>
              <w:rPr>
                <w:rFonts w:ascii="Calibri" w:hAnsi="Calibri"/>
                <w:color w:val="0B172A"/>
                <w:sz w:val="18"/>
              </w:rPr>
              <w:t>Ad hoc Smart View analysis</w:t>
            </w:r>
          </w:p>
        </w:tc>
        <w:tc>
          <w:tcPr>
            <w:tcW w:type="dxa" w:w="4560"/>
            <w:vAlign w:val="center"/>
            <w:tcMar>
              <w:top w:w="100" w:type="dxa"/>
              <w:start w:w="120" w:type="dxa"/>
              <w:bottom w:w="100" w:type="dxa"/>
              <w:end w:w="120" w:type="dxa"/>
            </w:tcMar>
          </w:tcPr>
          <w:p>
            <w:pPr>
              <w:spacing w:after="40" w:line="269" w:lineRule="auto"/>
            </w:pPr>
            <w:r>
              <w:rPr>
                <w:rFonts w:ascii="Calibri" w:hAnsi="Calibri"/>
                <w:color w:val="0B172A"/>
                <w:sz w:val="18"/>
              </w:rPr>
              <w:t>Pivoting, zoom, formulas, personal workbook analysis</w:t>
            </w:r>
          </w:p>
        </w:tc>
        <w:tc>
          <w:tcPr>
            <w:tcW w:type="dxa" w:w="2900"/>
            <w:vAlign w:val="center"/>
            <w:tcMar>
              <w:top w:w="100" w:type="dxa"/>
              <w:start w:w="120" w:type="dxa"/>
              <w:bottom w:w="100" w:type="dxa"/>
              <w:end w:w="120" w:type="dxa"/>
            </w:tcMar>
          </w:tcPr>
          <w:p>
            <w:pPr>
              <w:spacing w:after="40" w:line="269" w:lineRule="auto"/>
            </w:pPr>
            <w:r>
              <w:rPr>
                <w:rFonts w:ascii="Calibri" w:hAnsi="Calibri"/>
                <w:color w:val="0B172A"/>
                <w:sz w:val="18"/>
              </w:rPr>
              <w:t>Provide curated Excel outputs; add an Excel control interface later</w:t>
            </w:r>
          </w:p>
        </w:tc>
      </w:tr>
      <w:tr>
        <w:trPr>
          <w:cantSplit/>
        </w:trPr>
        <w:tc>
          <w:tcPr>
            <w:tcW w:type="dxa" w:w="1900"/>
            <w:shd w:fill="F3F6FA"/>
            <w:vAlign w:val="center"/>
            <w:tcMar>
              <w:top w:w="100" w:type="dxa"/>
              <w:start w:w="120" w:type="dxa"/>
              <w:bottom w:w="100" w:type="dxa"/>
              <w:end w:w="120" w:type="dxa"/>
            </w:tcMar>
          </w:tcPr>
          <w:p>
            <w:pPr>
              <w:spacing w:after="40" w:line="269" w:lineRule="auto"/>
            </w:pPr>
            <w:r>
              <w:rPr>
                <w:rFonts w:ascii="Calibri" w:hAnsi="Calibri"/>
                <w:color w:val="0B172A"/>
                <w:sz w:val="18"/>
              </w:rPr>
              <w:t>Oracle diagnostics and support</w:t>
            </w:r>
          </w:p>
        </w:tc>
        <w:tc>
          <w:tcPr>
            <w:tcW w:type="dxa" w:w="4560"/>
            <w:shd w:fill="F3F6FA"/>
            <w:vAlign w:val="center"/>
            <w:tcMar>
              <w:top w:w="100" w:type="dxa"/>
              <w:start w:w="120" w:type="dxa"/>
              <w:bottom w:w="100" w:type="dxa"/>
              <w:end w:w="120" w:type="dxa"/>
            </w:tcMar>
          </w:tcPr>
          <w:p>
            <w:pPr>
              <w:spacing w:after="40" w:line="269" w:lineRule="auto"/>
            </w:pPr>
            <w:r>
              <w:rPr>
                <w:rFonts w:ascii="Calibri" w:hAnsi="Calibri"/>
                <w:color w:val="0B172A"/>
                <w:sz w:val="18"/>
              </w:rPr>
              <w:t>Activity reports, application diagnostics, release-specific screens, SR evidence</w:t>
            </w:r>
          </w:p>
        </w:tc>
        <w:tc>
          <w:tcPr>
            <w:tcW w:type="dxa" w:w="2900"/>
            <w:shd w:fill="F3F6FA"/>
            <w:vAlign w:val="center"/>
            <w:tcMar>
              <w:top w:w="100" w:type="dxa"/>
              <w:start w:w="120" w:type="dxa"/>
              <w:bottom w:w="100" w:type="dxa"/>
              <w:end w:w="120" w:type="dxa"/>
            </w:tcMar>
          </w:tcPr>
          <w:p>
            <w:pPr>
              <w:spacing w:after="40" w:line="269" w:lineRule="auto"/>
            </w:pPr>
            <w:r>
              <w:rPr>
                <w:rFonts w:ascii="Calibri" w:hAnsi="Calibri"/>
                <w:color w:val="0B172A"/>
                <w:sz w:val="18"/>
              </w:rPr>
              <w:t>Download common diagnostics; preserve Oracle console access for exceptions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2D8"/>
          </w:tcPr>
          <w:p>
            <w:pPr>
              <w:spacing w:after="0"/>
            </w:pPr>
            <w:r>
              <w:rPr>
                <w:rFonts w:ascii="Calibri" w:hAnsi="Calibri"/>
                <w:b/>
                <w:color w:val="A75B05"/>
              </w:rPr>
              <w:t xml:space="preserve">Configuration-first rule: </w:t>
            </w:r>
            <w:r>
              <w:rPr>
                <w:rFonts w:ascii="Calibri" w:hAnsi="Calibri"/>
                <w:color w:val="0B172A"/>
              </w:rPr>
              <w:t>When Oracle requires a saved job, rule, Pipeline, integration, Data Map, report definition, or mapping, BISP should discover and execute that artifact—not create an undocumented parallel definition.</w:t>
            </w:r>
          </w:p>
        </w:tc>
      </w:tr>
    </w:tbl>
    <w:p>
      <w:pPr>
        <w:spacing w:after="40"/>
      </w:pPr>
    </w:p>
    <w:p>
      <w:pPr>
        <w:pStyle w:val="Heading2"/>
      </w:pPr>
      <w:r>
        <w:t>4.1 Specific clarifications</w:t>
      </w:r>
    </w:p>
    <w:p>
      <w:pPr>
        <w:pStyle w:val="ListBullet"/>
      </w:pPr>
      <w:r>
        <w:t>UDA changes are metadata changes. We can support an approved metadata-change workflow, but the administrator must define the UDA meaning and applicable members.</w:t>
      </w:r>
    </w:p>
    <w:p>
      <w:pPr>
        <w:pStyle w:val="ListBullet"/>
      </w:pPr>
      <w:r>
        <w:t>Smart Push is configured in Planning and usually uses a Data Map. Our platform can run the Data Map or a rule that invokes Smart Push, but should not silently create mappings.</w:t>
      </w:r>
    </w:p>
    <w:p>
      <w:pPr>
        <w:pStyle w:val="ListBullet"/>
      </w:pPr>
      <w:r>
        <w:t>A saved import/export/refresh job is still required where the Oracle API or EPM Automate command expects a job name. Our platform can reduce manual typing by discovering and selecting jobs.</w:t>
      </w:r>
    </w:p>
    <w:p>
      <w:pPr>
        <w:pStyle w:val="ListBullet"/>
      </w:pPr>
      <w:r>
        <w:t>Report generation can be highly automated, but pixel-perfect report design, books, bursting, and library organization may still originate in Oracle Reporting artifacts.</w:t>
      </w:r>
    </w:p>
    <w:p>
      <w:pPr>
        <w:pStyle w:val="Heading1"/>
      </w:pPr>
      <w:r>
        <w:t>5. Target operating model by persona</w:t>
      </w:r>
    </w:p>
    <w:tbl>
      <w:tblPr>
        <w:tblStyle w:val="TableGrid"/>
        <w:tblW w:type="dxa" w:w="9360"/>
        <w:tblLayout w:type="fixed"/>
        <w:tblLook w:firstColumn="1" w:firstRow="1" w:lastColumn="0" w:lastRow="0" w:noHBand="0" w:noVBand="1" w:val="04A0"/>
        <w:jc w:val="left"/>
        <w:tblInd w:w="120" w:type="dxa"/>
      </w:tblPr>
      <w:tblGrid>
        <w:gridCol w:w="1600"/>
        <w:gridCol w:w="2300"/>
        <w:gridCol w:w="3300"/>
        <w:gridCol w:w="2160"/>
      </w:tblGrid>
      <w:tr>
        <w:trPr>
          <w:tblHeader w:val="true"/>
          <w:cantSplit/>
        </w:trPr>
        <w:tc>
          <w:tcPr>
            <w:tcW w:type="dxa" w:w="1600"/>
            <w:vAlign w:val="center"/>
            <w:tcMar>
              <w:top w:w="100" w:type="dxa"/>
              <w:start w:w="120" w:type="dxa"/>
              <w:bottom w:w="100" w:type="dxa"/>
              <w:end w:w="120" w:type="dxa"/>
            </w:tcMar>
            <w:shd w:fill="254DCC"/>
          </w:tcPr>
          <w:p>
            <w:r>
              <w:rPr>
                <w:rFonts w:ascii="Calibri" w:hAnsi="Calibri"/>
                <w:b/>
                <w:color w:val="FFFFFF"/>
                <w:sz w:val="19"/>
              </w:rPr>
              <w:t>Persona</w:t>
            </w:r>
          </w:p>
        </w:tc>
        <w:tc>
          <w:tcPr>
            <w:tcW w:type="dxa" w:w="2300"/>
            <w:vAlign w:val="center"/>
            <w:tcMar>
              <w:top w:w="100" w:type="dxa"/>
              <w:start w:w="120" w:type="dxa"/>
              <w:bottom w:w="100" w:type="dxa"/>
              <w:end w:w="120" w:type="dxa"/>
            </w:tcMar>
            <w:shd w:fill="254DCC"/>
          </w:tcPr>
          <w:p>
            <w:r>
              <w:rPr>
                <w:rFonts w:ascii="Calibri" w:hAnsi="Calibri"/>
                <w:b/>
                <w:color w:val="FFFFFF"/>
                <w:sz w:val="19"/>
              </w:rPr>
              <w:t>Default landing experience</w:t>
            </w:r>
          </w:p>
        </w:tc>
        <w:tc>
          <w:tcPr>
            <w:tcW w:type="dxa" w:w="3300"/>
            <w:vAlign w:val="center"/>
            <w:tcMar>
              <w:top w:w="100" w:type="dxa"/>
              <w:start w:w="120" w:type="dxa"/>
              <w:bottom w:w="100" w:type="dxa"/>
              <w:end w:w="120" w:type="dxa"/>
            </w:tcMar>
            <w:shd w:fill="254DCC"/>
          </w:tcPr>
          <w:p>
            <w:r>
              <w:rPr>
                <w:rFonts w:ascii="Calibri" w:hAnsi="Calibri"/>
                <w:b/>
                <w:color w:val="FFFFFF"/>
                <w:sz w:val="19"/>
              </w:rPr>
              <w:t>Allowed high-value actions</w:t>
            </w:r>
          </w:p>
        </w:tc>
        <w:tc>
          <w:tcPr>
            <w:tcW w:type="dxa" w:w="2160"/>
            <w:vAlign w:val="center"/>
            <w:tcMar>
              <w:top w:w="100" w:type="dxa"/>
              <w:start w:w="120" w:type="dxa"/>
              <w:bottom w:w="100" w:type="dxa"/>
              <w:end w:w="120" w:type="dxa"/>
            </w:tcMar>
            <w:shd w:fill="254DCC"/>
          </w:tcPr>
          <w:p>
            <w:r>
              <w:rPr>
                <w:rFonts w:ascii="Calibri" w:hAnsi="Calibri"/>
                <w:b/>
                <w:color w:val="FFFFFF"/>
                <w:sz w:val="19"/>
              </w:rPr>
              <w:t>Oracle UI expectation</w:t>
            </w:r>
          </w:p>
        </w:tc>
      </w:tr>
      <w:tr>
        <w:trPr>
          <w:cantSplit/>
        </w:trPr>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Finance planner</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Planning Workspace</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Run approved Process, upload data, review validation, download report</w:t>
            </w:r>
          </w:p>
        </w:tc>
        <w:tc>
          <w:tcPr>
            <w:tcW w:type="dxa" w:w="2160"/>
            <w:shd w:fill="F3F6FA"/>
            <w:vAlign w:val="center"/>
            <w:tcMar>
              <w:top w:w="100" w:type="dxa"/>
              <w:start w:w="120" w:type="dxa"/>
              <w:bottom w:w="100" w:type="dxa"/>
              <w:end w:w="120" w:type="dxa"/>
            </w:tcMar>
          </w:tcPr>
          <w:p>
            <w:pPr>
              <w:spacing w:after="40" w:line="269" w:lineRule="auto"/>
            </w:pPr>
            <w:r>
              <w:rPr>
                <w:rFonts w:ascii="Calibri" w:hAnsi="Calibri"/>
                <w:color w:val="0B172A"/>
                <w:sz w:val="18"/>
              </w:rPr>
              <w:t>Occasional forms/Smart View</w:t>
            </w:r>
          </w:p>
        </w:tc>
      </w:tr>
      <w:tr>
        <w:trPr>
          <w:cantSplit/>
        </w:trPr>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Process operator</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Control panel and schedules</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Run/schedule approved processes, investigate failures, retry safe steps</w:t>
            </w:r>
          </w:p>
        </w:tc>
        <w:tc>
          <w:tcPr>
            <w:tcW w:type="dxa" w:w="2160"/>
            <w:vAlign w:val="center"/>
            <w:tcMar>
              <w:top w:w="100" w:type="dxa"/>
              <w:start w:w="120" w:type="dxa"/>
              <w:bottom w:w="100" w:type="dxa"/>
              <w:end w:w="120" w:type="dxa"/>
            </w:tcMar>
          </w:tcPr>
          <w:p>
            <w:pPr>
              <w:spacing w:after="40" w:line="269" w:lineRule="auto"/>
            </w:pPr>
            <w:r>
              <w:rPr>
                <w:rFonts w:ascii="Calibri" w:hAnsi="Calibri"/>
                <w:color w:val="0B172A"/>
                <w:sz w:val="18"/>
              </w:rPr>
              <w:t>Exception only</w:t>
            </w:r>
          </w:p>
        </w:tc>
      </w:tr>
      <w:tr>
        <w:trPr>
          <w:cantSplit/>
        </w:trPr>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EPM consultant</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Automation Designer and Operations</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Register artifacts, define Process controls, test jobs, inspect diagnostics</w:t>
            </w:r>
          </w:p>
        </w:tc>
        <w:tc>
          <w:tcPr>
            <w:tcW w:type="dxa" w:w="2160"/>
            <w:shd w:fill="F3F6FA"/>
            <w:vAlign w:val="center"/>
            <w:tcMar>
              <w:top w:w="100" w:type="dxa"/>
              <w:start w:w="120" w:type="dxa"/>
              <w:bottom w:w="100" w:type="dxa"/>
              <w:end w:w="120" w:type="dxa"/>
            </w:tcMar>
          </w:tcPr>
          <w:p>
            <w:pPr>
              <w:spacing w:after="40" w:line="269" w:lineRule="auto"/>
            </w:pPr>
            <w:r>
              <w:rPr>
                <w:rFonts w:ascii="Calibri" w:hAnsi="Calibri"/>
                <w:color w:val="0B172A"/>
                <w:sz w:val="18"/>
              </w:rPr>
              <w:t>Artifact design and advanced mapping</w:t>
            </w:r>
          </w:p>
        </w:tc>
      </w:tr>
      <w:tr>
        <w:trPr>
          <w:cantSplit/>
        </w:trPr>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Platform administrator</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Access Control and environment operations</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Manage platform users, policy, maintenance, retention, integrations</w:t>
            </w:r>
          </w:p>
        </w:tc>
        <w:tc>
          <w:tcPr>
            <w:tcW w:type="dxa" w:w="2160"/>
            <w:vAlign w:val="center"/>
            <w:tcMar>
              <w:top w:w="100" w:type="dxa"/>
              <w:start w:w="120" w:type="dxa"/>
              <w:bottom w:w="100" w:type="dxa"/>
              <w:end w:w="120" w:type="dxa"/>
            </w:tcMar>
          </w:tcPr>
          <w:p>
            <w:pPr>
              <w:spacing w:after="40" w:line="269" w:lineRule="auto"/>
            </w:pPr>
            <w:r>
              <w:rPr>
                <w:rFonts w:ascii="Calibri" w:hAnsi="Calibri"/>
                <w:color w:val="0B172A"/>
                <w:sz w:val="18"/>
              </w:rPr>
              <w:t>Oracle tenancy and application administration</w:t>
            </w:r>
          </w:p>
        </w:tc>
      </w:tr>
      <w:tr>
        <w:trPr>
          <w:cantSplit/>
        </w:trPr>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Auditor</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Execution History</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Read history, evidence, logs, reports, approvals</w:t>
            </w:r>
          </w:p>
        </w:tc>
        <w:tc>
          <w:tcPr>
            <w:tcW w:type="dxa" w:w="2160"/>
            <w:shd w:fill="F3F6FA"/>
            <w:vAlign w:val="center"/>
            <w:tcMar>
              <w:top w:w="100" w:type="dxa"/>
              <w:start w:w="120" w:type="dxa"/>
              <w:bottom w:w="100" w:type="dxa"/>
              <w:end w:w="120" w:type="dxa"/>
            </w:tcMar>
          </w:tcPr>
          <w:p>
            <w:pPr>
              <w:spacing w:after="40" w:line="269" w:lineRule="auto"/>
            </w:pPr>
            <w:r>
              <w:rPr>
                <w:rFonts w:ascii="Calibri" w:hAnsi="Calibri"/>
                <w:color w:val="0B172A"/>
                <w:sz w:val="18"/>
              </w:rPr>
              <w:t>Normally none</w:t>
            </w:r>
          </w:p>
        </w:tc>
      </w:tr>
      <w:tr>
        <w:trPr>
          <w:cantSplit/>
        </w:trPr>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AI agent</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No independent identity</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Use allowlisted tools under the signed-in user's permissions and approvals</w:t>
            </w:r>
          </w:p>
        </w:tc>
        <w:tc>
          <w:tcPr>
            <w:tcW w:type="dxa" w:w="2160"/>
            <w:vAlign w:val="center"/>
            <w:tcMar>
              <w:top w:w="100" w:type="dxa"/>
              <w:start w:w="120" w:type="dxa"/>
              <w:bottom w:w="100" w:type="dxa"/>
              <w:end w:w="120" w:type="dxa"/>
            </w:tcMar>
          </w:tcPr>
          <w:p>
            <w:pPr>
              <w:spacing w:after="40" w:line="269" w:lineRule="auto"/>
            </w:pPr>
            <w:r>
              <w:rPr>
                <w:rFonts w:ascii="Calibri" w:hAnsi="Calibri"/>
                <w:color w:val="0B172A"/>
                <w:sz w:val="18"/>
              </w:rPr>
              <w:t>Never signs into Oracle interactively</w:t>
            </w:r>
          </w:p>
        </w:tc>
      </w:tr>
    </w:tbl>
    <w:p>
      <w:pPr>
        <w:spacing w:after="40"/>
      </w:pPr>
    </w:p>
    <w:p>
      <w:pPr>
        <w:pStyle w:val="Heading2"/>
      </w:pPr>
      <w:r>
        <w:t>Recommended navigation principle</w:t>
      </w:r>
    </w:p>
    <w:p>
      <w:r>
        <w:t>Keep one primary Planning Workspace for ordinary work. Automation Designer is for consultant configuration; Operations is for individual technical execution and support; Schedules is for unattended execution; Access Control is for platform administrators; History is the common evidence surface. Avoid duplicating the same action on multiple pages unless the context is meaningfully different.</w:t>
      </w:r>
    </w:p>
    <w:p>
      <w:pPr>
        <w:pStyle w:val="Heading1"/>
      </w:pPr>
      <w:r>
        <w:t>6. AI agent: how it should work</w:t>
      </w:r>
    </w:p>
    <w:p>
      <w:r>
        <w:t>The agent should be a governed planning copilot, not an unrestricted chatbot connected to Oracle. It must call the same typed application services used by the web UI so rules, permissions, preflight, audit, and monitoring remain consistent.</w:t>
      </w:r>
    </w:p>
    <w:p>
      <w:pPr>
        <w:pStyle w:val="Heading2"/>
      </w:pPr>
      <w:r>
        <w:t>6.1 Governed request lifecycle</w:t>
      </w:r>
    </w:p>
    <w:p>
      <w:pPr>
        <w:spacing w:after="80"/>
        <w:ind w:left="518" w:hanging="346"/>
      </w:pPr>
      <w:r>
        <w:t>1.  Understand intent: convert the user's request into a structured task such as inspect, prepare, execute, monitor, explain, or schedule.</w:t>
      </w:r>
    </w:p>
    <w:p>
      <w:pPr>
        <w:spacing w:after="80"/>
        <w:ind w:left="518" w:hanging="346"/>
      </w:pPr>
      <w:r>
        <w:t>2.  Resolve live context: discover the current application, Process, Pipeline, jobs, variables, files, periods, and user permissions.</w:t>
      </w:r>
    </w:p>
    <w:p>
      <w:pPr>
        <w:spacing w:after="80"/>
        <w:ind w:left="518" w:hanging="346"/>
      </w:pPr>
      <w:r>
        <w:t>3.  Build a typed plan: select only allowlisted platform capabilities and populate validated request models.</w:t>
      </w:r>
    </w:p>
    <w:p>
      <w:pPr>
        <w:spacing w:after="80"/>
        <w:ind w:left="518" w:hanging="346"/>
      </w:pPr>
      <w:r>
        <w:t>4.  Run read-only preflight: show the exact artifacts, POV, files, variable changes, Process stages, and impact without changing Oracle.</w:t>
      </w:r>
    </w:p>
    <w:p>
      <w:pPr>
        <w:spacing w:after="80"/>
        <w:ind w:left="518" w:hanging="346"/>
      </w:pPr>
      <w:r>
        <w:t>5.  Apply policy and approval: low-risk reads may proceed; writes and high-risk administration require explicit confirmation or an approved schedule.</w:t>
      </w:r>
    </w:p>
    <w:p>
      <w:pPr>
        <w:spacing w:after="80"/>
        <w:ind w:left="518" w:hanging="346"/>
      </w:pPr>
      <w:r>
        <w:t>6.  Execute deterministically: invoke the existing service; never generate arbitrary URLs, SQL, shell commands, or EPM Automate text.</w:t>
      </w:r>
    </w:p>
    <w:p>
      <w:pPr>
        <w:spacing w:after="80"/>
        <w:ind w:left="518" w:hanging="346"/>
      </w:pPr>
      <w:r>
        <w:t>7.  Monitor and explain: track job status, capture logs and artifacts, summarize errors, and suggest a safe next action.</w:t>
      </w:r>
    </w:p>
    <w:p>
      <w:pPr>
        <w:spacing w:after="80"/>
        <w:ind w:left="518" w:hanging="346"/>
      </w:pPr>
      <w:r>
        <w:t>8.  Persist evidence: store the user's intent summary, approved plan, actor, trigger source AI_AGENT, workflow result, and relevant artifacts.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FFF"/>
          </w:tcPr>
          <w:p>
            <w:pPr>
              <w:spacing w:after="0"/>
            </w:pPr>
            <w:r>
              <w:rPr>
                <w:rFonts w:ascii="Calibri" w:hAnsi="Calibri"/>
                <w:b/>
                <w:color w:val="254DCC"/>
              </w:rPr>
              <w:t xml:space="preserve">Non-negotiable boundary: </w:t>
            </w:r>
            <w:r>
              <w:rPr>
                <w:rFonts w:ascii="Calibri" w:hAnsi="Calibri"/>
                <w:color w:val="0B172A"/>
              </w:rPr>
              <w:t>The model proposes and explains. Deterministic platform code validates, authorizes, executes, monitors, and records.</w:t>
            </w:r>
          </w:p>
        </w:tc>
      </w:tr>
    </w:tbl>
    <w:p>
      <w:pPr>
        <w:spacing w:after="40"/>
      </w:pPr>
    </w:p>
    <w:p>
      <w:pPr>
        <w:pStyle w:val="Heading2"/>
      </w:pPr>
      <w:r>
        <w:t>6.2 What the AI agent can do</w:t>
      </w:r>
    </w:p>
    <w:p>
      <w:pPr>
        <w:pStyle w:val="ListBullet"/>
      </w:pPr>
      <w:r>
        <w:t>Answer operational questions using live catalogs and execution history: what ran, what failed, what is scheduled, and which artifact is available.</w:t>
      </w:r>
    </w:p>
    <w:p>
      <w:pPr>
        <w:pStyle w:val="ListBullet"/>
      </w:pPr>
      <w:r>
        <w:t>Guide a first-time user to the correct Process or standalone operation using role, task, and business context.</w:t>
      </w:r>
    </w:p>
    <w:p>
      <w:pPr>
        <w:pStyle w:val="ListBullet"/>
      </w:pPr>
      <w:r>
        <w:t>Prepare Process inputs, identify missing variables or files, and run preflight.</w:t>
      </w:r>
    </w:p>
    <w:p>
      <w:pPr>
        <w:pStyle w:val="ListBullet"/>
      </w:pPr>
      <w:r>
        <w:t>Execute an approved Process, rule, Pipeline, integration, Data Map, report, import, or refresh when the user has permission and confirms the impact.</w:t>
      </w:r>
    </w:p>
    <w:p>
      <w:pPr>
        <w:pStyle w:val="ListBullet"/>
      </w:pPr>
      <w:r>
        <w:t>Monitor long-running jobs, summarize Oracle errors, retrieve logs, and recommend tested remediation steps.</w:t>
      </w:r>
    </w:p>
    <w:p>
      <w:pPr>
        <w:pStyle w:val="ListBullet"/>
      </w:pPr>
      <w:r>
        <w:t>Create or update a schedule only after validating that the Process can run unattended.</w:t>
      </w:r>
    </w:p>
    <w:p>
      <w:pPr>
        <w:pStyle w:val="ListBullet"/>
      </w:pPr>
      <w:r>
        <w:t>Generate evidence packs, operational summaries, and exception reports from stored structured history.</w:t>
      </w:r>
    </w:p>
    <w:p>
      <w:pPr>
        <w:pStyle w:val="ListBullet"/>
      </w:pPr>
      <w:r>
        <w:t>Propose metadata or UDA change files for consultant review; it must not deploy them autonomously by default.</w:t>
      </w:r>
    </w:p>
    <w:p>
      <w:pPr>
        <w:pStyle w:val="Heading2"/>
      </w:pPr>
      <w:r>
        <w:t>6.3 What the AI agent cannot do</w:t>
      </w:r>
    </w:p>
    <w:p>
      <w:pPr>
        <w:pStyle w:val="ListBullet"/>
      </w:pPr>
      <w:r>
        <w:t>It cannot bypass platform permissions, Oracle roles, approval gates, or file validations.</w:t>
      </w:r>
    </w:p>
    <w:p>
      <w:pPr>
        <w:pStyle w:val="ListBullet"/>
      </w:pPr>
      <w:r>
        <w:t>It cannot invent a valid member, job, Pipeline variable, RTP, mapping, or report name. These must be discovered or explicitly supplied.</w:t>
      </w:r>
    </w:p>
    <w:p>
      <w:pPr>
        <w:pStyle w:val="ListBullet"/>
      </w:pPr>
      <w:r>
        <w:t>It cannot guarantee business correctness merely because Oracle returned SUCCESS; reconciliation and business controls are still required.</w:t>
      </w:r>
    </w:p>
    <w:p>
      <w:pPr>
        <w:pStyle w:val="ListBullet"/>
      </w:pPr>
      <w:r>
        <w:t>It cannot safely design complex dimensional models, formulas, security, mappings, or UDAs without functional ownership and review.</w:t>
      </w:r>
    </w:p>
    <w:p>
      <w:pPr>
        <w:pStyle w:val="ListBullet"/>
      </w:pPr>
      <w:r>
        <w:t>It cannot create an Oracle artifact when Oracle exposes no supported creation API and no approved metadata mechanism exists.</w:t>
      </w:r>
    </w:p>
    <w:p>
      <w:pPr>
        <w:pStyle w:val="ListBullet"/>
      </w:pPr>
      <w:r>
        <w:t>It cannot resolve DNS, network, Oracle maintenance, licensing, service outages, or insufficient Oracle privileges by reasoning alone.</w:t>
      </w:r>
    </w:p>
    <w:p>
      <w:pPr>
        <w:pStyle w:val="ListBullet"/>
      </w:pPr>
      <w:r>
        <w:t>It cannot read data outside the service account's Oracle access or the signed-in user's platform permission boundary.</w:t>
      </w:r>
    </w:p>
    <w:p>
      <w:pPr>
        <w:pStyle w:val="ListBullet"/>
      </w:pPr>
      <w:r>
        <w:t>It must not reveal credentials, password hashes, encrypted-password files, tokens, or unredacted sensitive log content.</w:t>
      </w:r>
    </w:p>
    <w:p>
      <w:pPr>
        <w:pStyle w:val="ListBullet"/>
      </w:pPr>
      <w:r>
        <w:t>It should not edit SQLite directly, execute arbitrary SQL, or use database state as a substitute for live Oracle validation.</w:t>
      </w:r>
    </w:p>
    <w:p>
      <w:pPr>
        <w:pStyle w:val="Heading1"/>
      </w:pPr>
      <w:r>
        <w:t>7. AI-agent limitations and required safeguards</w:t>
      </w:r>
    </w:p>
    <w:tbl>
      <w:tblPr>
        <w:tblStyle w:val="TableGrid"/>
        <w:tblW w:type="dxa" w:w="9360"/>
        <w:tblLayout w:type="fixed"/>
        <w:tblLook w:firstColumn="1" w:firstRow="1" w:lastColumn="0" w:lastRow="0" w:noHBand="0" w:noVBand="1" w:val="04A0"/>
        <w:jc w:val="left"/>
        <w:tblInd w:w="120" w:type="dxa"/>
      </w:tblPr>
      <w:tblGrid>
        <w:gridCol w:w="1700"/>
        <w:gridCol w:w="3300"/>
        <w:gridCol w:w="4360"/>
      </w:tblGrid>
      <w:tr>
        <w:trPr>
          <w:tblHeader w:val="true"/>
          <w:cantSplit/>
        </w:trPr>
        <w:tc>
          <w:tcPr>
            <w:tcW w:type="dxa" w:w="1700"/>
            <w:vAlign w:val="center"/>
            <w:tcMar>
              <w:top w:w="100" w:type="dxa"/>
              <w:start w:w="120" w:type="dxa"/>
              <w:bottom w:w="100" w:type="dxa"/>
              <w:end w:w="120" w:type="dxa"/>
            </w:tcMar>
            <w:shd w:fill="254DCC"/>
          </w:tcPr>
          <w:p>
            <w:r>
              <w:rPr>
                <w:rFonts w:ascii="Calibri" w:hAnsi="Calibri"/>
                <w:b/>
                <w:color w:val="FFFFFF"/>
                <w:sz w:val="19"/>
              </w:rPr>
              <w:t>Risk</w:t>
            </w:r>
          </w:p>
        </w:tc>
        <w:tc>
          <w:tcPr>
            <w:tcW w:type="dxa" w:w="3300"/>
            <w:vAlign w:val="center"/>
            <w:tcMar>
              <w:top w:w="100" w:type="dxa"/>
              <w:start w:w="120" w:type="dxa"/>
              <w:bottom w:w="100" w:type="dxa"/>
              <w:end w:w="120" w:type="dxa"/>
            </w:tcMar>
            <w:shd w:fill="254DCC"/>
          </w:tcPr>
          <w:p>
            <w:r>
              <w:rPr>
                <w:rFonts w:ascii="Calibri" w:hAnsi="Calibri"/>
                <w:b/>
                <w:color w:val="FFFFFF"/>
                <w:sz w:val="19"/>
              </w:rPr>
              <w:t>Failure mode</w:t>
            </w:r>
          </w:p>
        </w:tc>
        <w:tc>
          <w:tcPr>
            <w:tcW w:type="dxa" w:w="4360"/>
            <w:vAlign w:val="center"/>
            <w:tcMar>
              <w:top w:w="100" w:type="dxa"/>
              <w:start w:w="120" w:type="dxa"/>
              <w:bottom w:w="100" w:type="dxa"/>
              <w:end w:w="120" w:type="dxa"/>
            </w:tcMar>
            <w:shd w:fill="254DCC"/>
          </w:tcPr>
          <w:p>
            <w:r>
              <w:rPr>
                <w:rFonts w:ascii="Calibri" w:hAnsi="Calibri"/>
                <w:b/>
                <w:color w:val="FFFFFF"/>
                <w:sz w:val="19"/>
              </w:rPr>
              <w:t>Required safeguard</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Hallucinated artifact</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Agent names a member/job that does not exist</w:t>
            </w:r>
          </w:p>
        </w:tc>
        <w:tc>
          <w:tcPr>
            <w:tcW w:type="dxa" w:w="4360"/>
            <w:shd w:fill="F3F6FA"/>
            <w:vAlign w:val="center"/>
            <w:tcMar>
              <w:top w:w="100" w:type="dxa"/>
              <w:start w:w="120" w:type="dxa"/>
              <w:bottom w:w="100" w:type="dxa"/>
              <w:end w:w="120" w:type="dxa"/>
            </w:tcMar>
          </w:tcPr>
          <w:p>
            <w:pPr>
              <w:spacing w:after="40" w:line="269" w:lineRule="auto"/>
            </w:pPr>
            <w:r>
              <w:rPr>
                <w:rFonts w:ascii="Calibri" w:hAnsi="Calibri"/>
                <w:color w:val="0B172A"/>
                <w:sz w:val="18"/>
              </w:rPr>
              <w:t>Live discovery, exact-match selection, typed enum/catalog references</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Stale context</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Oracle artifact changed after the conversation started</w:t>
            </w:r>
          </w:p>
        </w:tc>
        <w:tc>
          <w:tcPr>
            <w:tcW w:type="dxa" w:w="4360"/>
            <w:vAlign w:val="center"/>
            <w:tcMar>
              <w:top w:w="100" w:type="dxa"/>
              <w:start w:w="120" w:type="dxa"/>
              <w:bottom w:w="100" w:type="dxa"/>
              <w:end w:w="120" w:type="dxa"/>
            </w:tcMar>
          </w:tcPr>
          <w:p>
            <w:pPr>
              <w:spacing w:after="40" w:line="269" w:lineRule="auto"/>
            </w:pPr>
            <w:r>
              <w:rPr>
                <w:rFonts w:ascii="Calibri" w:hAnsi="Calibri"/>
                <w:color w:val="0B172A"/>
                <w:sz w:val="18"/>
              </w:rPr>
              <w:t>Refresh before preflight and again immediately before write</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Ambiguous business request</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'Load forecast' omits year, period, scenario, file, or mode</w:t>
            </w:r>
          </w:p>
        </w:tc>
        <w:tc>
          <w:tcPr>
            <w:tcW w:type="dxa" w:w="4360"/>
            <w:shd w:fill="F3F6FA"/>
            <w:vAlign w:val="center"/>
            <w:tcMar>
              <w:top w:w="100" w:type="dxa"/>
              <w:start w:w="120" w:type="dxa"/>
              <w:bottom w:w="100" w:type="dxa"/>
              <w:end w:w="120" w:type="dxa"/>
            </w:tcMar>
          </w:tcPr>
          <w:p>
            <w:pPr>
              <w:spacing w:after="40" w:line="269" w:lineRule="auto"/>
            </w:pPr>
            <w:r>
              <w:rPr>
                <w:rFonts w:ascii="Calibri" w:hAnsi="Calibri"/>
                <w:color w:val="0B172A"/>
                <w:sz w:val="18"/>
              </w:rPr>
              <w:t>Ask focused questions; never infer destructive scope</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Prompt injection</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Uploaded file/log contains instructions addressed to the model</w:t>
            </w:r>
          </w:p>
        </w:tc>
        <w:tc>
          <w:tcPr>
            <w:tcW w:type="dxa" w:w="4360"/>
            <w:vAlign w:val="center"/>
            <w:tcMar>
              <w:top w:w="100" w:type="dxa"/>
              <w:start w:w="120" w:type="dxa"/>
              <w:bottom w:w="100" w:type="dxa"/>
              <w:end w:w="120" w:type="dxa"/>
            </w:tcMar>
          </w:tcPr>
          <w:p>
            <w:pPr>
              <w:spacing w:after="40" w:line="269" w:lineRule="auto"/>
            </w:pPr>
            <w:r>
              <w:rPr>
                <w:rFonts w:ascii="Calibri" w:hAnsi="Calibri"/>
                <w:color w:val="0B172A"/>
                <w:sz w:val="18"/>
              </w:rPr>
              <w:t>Treat external content as data; tool policy outranks content</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Excessive authority</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Agent can call every operation through one administrator account</w:t>
            </w:r>
          </w:p>
        </w:tc>
        <w:tc>
          <w:tcPr>
            <w:tcW w:type="dxa" w:w="436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Platform RBAC, risk tiers, least-privilege Oracle identity</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Duplicate execution</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Retry submits a second non-idempotent job</w:t>
            </w:r>
          </w:p>
        </w:tc>
        <w:tc>
          <w:tcPr>
            <w:tcW w:type="dxa" w:w="4360"/>
            <w:vAlign w:val="center"/>
            <w:tcMar>
              <w:top w:w="100" w:type="dxa"/>
              <w:start w:w="120" w:type="dxa"/>
              <w:bottom w:w="100" w:type="dxa"/>
              <w:end w:w="120" w:type="dxa"/>
            </w:tcMar>
          </w:tcPr>
          <w:p>
            <w:pPr>
              <w:spacing w:after="40" w:line="269" w:lineRule="auto"/>
            </w:pPr>
            <w:r>
              <w:rPr>
                <w:rFonts w:ascii="Calibri" w:hAnsi="Calibri"/>
                <w:color w:val="0B172A"/>
                <w:sz w:val="18"/>
              </w:rPr>
              <w:t>Idempotency key, active-run lock, execution reconciliation</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False success</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Oracle job succeeds but source and target are not reconciled</w:t>
            </w:r>
          </w:p>
        </w:tc>
        <w:tc>
          <w:tcPr>
            <w:tcW w:type="dxa" w:w="4360"/>
            <w:shd w:fill="F3F6FA"/>
            <w:vAlign w:val="center"/>
            <w:tcMar>
              <w:top w:w="100" w:type="dxa"/>
              <w:start w:w="120" w:type="dxa"/>
              <w:bottom w:w="100" w:type="dxa"/>
              <w:end w:w="120" w:type="dxa"/>
            </w:tcMar>
          </w:tcPr>
          <w:p>
            <w:pPr>
              <w:spacing w:after="40" w:line="269" w:lineRule="auto"/>
            </w:pPr>
            <w:r>
              <w:rPr>
                <w:rFonts w:ascii="Calibri" w:hAnsi="Calibri"/>
                <w:color w:val="0B172A"/>
                <w:sz w:val="18"/>
              </w:rPr>
              <w:t>Post-run validations, tolerances, control totals, sign-off</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Sensitive information</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Logs or prompts expose financial/security data</w:t>
            </w:r>
          </w:p>
        </w:tc>
        <w:tc>
          <w:tcPr>
            <w:tcW w:type="dxa" w:w="4360"/>
            <w:vAlign w:val="center"/>
            <w:tcMar>
              <w:top w:w="100" w:type="dxa"/>
              <w:start w:w="120" w:type="dxa"/>
              <w:bottom w:w="100" w:type="dxa"/>
              <w:end w:w="120" w:type="dxa"/>
            </w:tcMar>
          </w:tcPr>
          <w:p>
            <w:pPr>
              <w:spacing w:after="40" w:line="269" w:lineRule="auto"/>
            </w:pPr>
            <w:r>
              <w:rPr>
                <w:rFonts w:ascii="Calibri" w:hAnsi="Calibri"/>
                <w:color w:val="0B172A"/>
                <w:sz w:val="18"/>
              </w:rPr>
              <w:t>Redaction, retention policy, encryption, restricted evidence access</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Long-running work</w:t>
            </w:r>
          </w:p>
        </w:tc>
        <w:tc>
          <w:tcPr>
            <w:tcW w:type="dxa" w:w="3300"/>
            <w:shd w:fill="F3F6FA"/>
            <w:vAlign w:val="center"/>
            <w:tcMar>
              <w:top w:w="100" w:type="dxa"/>
              <w:start w:w="120" w:type="dxa"/>
              <w:bottom w:w="100" w:type="dxa"/>
              <w:end w:w="120" w:type="dxa"/>
            </w:tcMar>
          </w:tcPr>
          <w:p>
            <w:pPr>
              <w:spacing w:after="40" w:line="269" w:lineRule="auto"/>
            </w:pPr>
            <w:r>
              <w:rPr>
                <w:rFonts w:ascii="Calibri" w:hAnsi="Calibri"/>
                <w:color w:val="0B172A"/>
                <w:sz w:val="18"/>
              </w:rPr>
              <w:t>HTTP or model session ends while Oracle job continues</w:t>
            </w:r>
          </w:p>
        </w:tc>
        <w:tc>
          <w:tcPr>
            <w:tcW w:type="dxa" w:w="4360"/>
            <w:shd w:fill="F3F6FA"/>
            <w:vAlign w:val="center"/>
            <w:tcMar>
              <w:top w:w="100" w:type="dxa"/>
              <w:start w:w="120" w:type="dxa"/>
              <w:bottom w:w="100" w:type="dxa"/>
              <w:end w:w="120" w:type="dxa"/>
            </w:tcMar>
          </w:tcPr>
          <w:p>
            <w:pPr>
              <w:spacing w:after="40" w:line="269" w:lineRule="auto"/>
            </w:pPr>
            <w:r>
              <w:rPr>
                <w:rFonts w:ascii="Calibri" w:hAnsi="Calibri"/>
                <w:color w:val="0B172A"/>
                <w:sz w:val="18"/>
              </w:rPr>
              <w:t>Durable queue/worker, asynchronous status, resumable monitoring</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Model variability</w:t>
            </w:r>
          </w:p>
        </w:tc>
        <w:tc>
          <w:tcPr>
            <w:tcW w:type="dxa" w:w="3300"/>
            <w:vAlign w:val="center"/>
            <w:tcMar>
              <w:top w:w="100" w:type="dxa"/>
              <w:start w:w="120" w:type="dxa"/>
              <w:bottom w:w="100" w:type="dxa"/>
              <w:end w:w="120" w:type="dxa"/>
            </w:tcMar>
          </w:tcPr>
          <w:p>
            <w:pPr>
              <w:spacing w:after="40" w:line="269" w:lineRule="auto"/>
            </w:pPr>
            <w:r>
              <w:rPr>
                <w:rFonts w:ascii="Calibri" w:hAnsi="Calibri"/>
                <w:color w:val="0B172A"/>
                <w:sz w:val="18"/>
              </w:rPr>
              <w:t>Same wording produces different plan</w:t>
            </w:r>
          </w:p>
        </w:tc>
        <w:tc>
          <w:tcPr>
            <w:tcW w:type="dxa" w:w="4360"/>
            <w:vAlign w:val="center"/>
            <w:tcMar>
              <w:top w:w="100" w:type="dxa"/>
              <w:start w:w="120" w:type="dxa"/>
              <w:bottom w:w="100" w:type="dxa"/>
              <w:end w:w="120" w:type="dxa"/>
            </w:tcMar>
          </w:tcPr>
          <w:p>
            <w:pPr>
              <w:spacing w:after="40" w:line="269" w:lineRule="auto"/>
            </w:pPr>
            <w:r>
              <w:rPr>
                <w:rFonts w:ascii="Calibri" w:hAnsi="Calibri"/>
                <w:color w:val="0B172A"/>
                <w:sz w:val="18"/>
              </w:rPr>
              <w:t>Capability registry, deterministic schemas, policy tests, approval snapshot</w:t>
            </w:r>
          </w:p>
        </w:tc>
      </w:tr>
    </w:tbl>
    <w:p>
      <w:pPr>
        <w:spacing w:after="40"/>
      </w:pPr>
    </w:p>
    <w:p>
      <w:pPr>
        <w:pStyle w:val="Heading2"/>
      </w:pPr>
      <w:r>
        <w:t>7.1 Recommended risk tiers</w:t>
      </w:r>
    </w:p>
    <w:tbl>
      <w:tblPr>
        <w:tblStyle w:val="TableGrid"/>
        <w:tblW w:type="dxa" w:w="9360"/>
        <w:tblLayout w:type="fixed"/>
        <w:tblLook w:firstColumn="1" w:firstRow="1" w:lastColumn="0" w:lastRow="0" w:noHBand="0" w:noVBand="1" w:val="04A0"/>
        <w:jc w:val="left"/>
        <w:tblInd w:w="120" w:type="dxa"/>
      </w:tblPr>
      <w:tblGrid>
        <w:gridCol w:w="1600"/>
        <w:gridCol w:w="4100"/>
        <w:gridCol w:w="3660"/>
      </w:tblGrid>
      <w:tr>
        <w:trPr>
          <w:tblHeader w:val="true"/>
          <w:cantSplit/>
        </w:trPr>
        <w:tc>
          <w:tcPr>
            <w:tcW w:type="dxa" w:w="1600"/>
            <w:vAlign w:val="center"/>
            <w:tcMar>
              <w:top w:w="100" w:type="dxa"/>
              <w:start w:w="120" w:type="dxa"/>
              <w:bottom w:w="100" w:type="dxa"/>
              <w:end w:w="120" w:type="dxa"/>
            </w:tcMar>
            <w:shd w:fill="254DCC"/>
          </w:tcPr>
          <w:p>
            <w:r>
              <w:rPr>
                <w:rFonts w:ascii="Calibri" w:hAnsi="Calibri"/>
                <w:b/>
                <w:color w:val="FFFFFF"/>
                <w:sz w:val="19"/>
              </w:rPr>
              <w:t>Tier</w:t>
            </w:r>
          </w:p>
        </w:tc>
        <w:tc>
          <w:tcPr>
            <w:tcW w:type="dxa" w:w="4100"/>
            <w:vAlign w:val="center"/>
            <w:tcMar>
              <w:top w:w="100" w:type="dxa"/>
              <w:start w:w="120" w:type="dxa"/>
              <w:bottom w:w="100" w:type="dxa"/>
              <w:end w:w="120" w:type="dxa"/>
            </w:tcMar>
            <w:shd w:fill="254DCC"/>
          </w:tcPr>
          <w:p>
            <w:r>
              <w:rPr>
                <w:rFonts w:ascii="Calibri" w:hAnsi="Calibri"/>
                <w:b/>
                <w:color w:val="FFFFFF"/>
                <w:sz w:val="19"/>
              </w:rPr>
              <w:t>Examples</w:t>
            </w:r>
          </w:p>
        </w:tc>
        <w:tc>
          <w:tcPr>
            <w:tcW w:type="dxa" w:w="3660"/>
            <w:vAlign w:val="center"/>
            <w:tcMar>
              <w:top w:w="100" w:type="dxa"/>
              <w:start w:w="120" w:type="dxa"/>
              <w:bottom w:w="100" w:type="dxa"/>
              <w:end w:w="120" w:type="dxa"/>
            </w:tcMar>
            <w:shd w:fill="254DCC"/>
          </w:tcPr>
          <w:p>
            <w:r>
              <w:rPr>
                <w:rFonts w:ascii="Calibri" w:hAnsi="Calibri"/>
                <w:b/>
                <w:color w:val="FFFFFF"/>
                <w:sz w:val="19"/>
              </w:rPr>
              <w:t>Agent behavior</w:t>
            </w:r>
          </w:p>
        </w:tc>
      </w:tr>
      <w:tr>
        <w:trPr>
          <w:cantSplit/>
        </w:trPr>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Read only</w:t>
            </w:r>
          </w:p>
        </w:tc>
        <w:tc>
          <w:tcPr>
            <w:tcW w:type="dxa" w:w="4100"/>
            <w:shd w:fill="F3F6FA"/>
            <w:vAlign w:val="center"/>
            <w:tcMar>
              <w:top w:w="100" w:type="dxa"/>
              <w:start w:w="120" w:type="dxa"/>
              <w:bottom w:w="100" w:type="dxa"/>
              <w:end w:w="120" w:type="dxa"/>
            </w:tcMar>
          </w:tcPr>
          <w:p>
            <w:pPr>
              <w:spacing w:after="40" w:line="269" w:lineRule="auto"/>
            </w:pPr>
            <w:r>
              <w:rPr>
                <w:rFonts w:ascii="Calibri" w:hAnsi="Calibri"/>
                <w:color w:val="0B172A"/>
                <w:sz w:val="18"/>
              </w:rPr>
              <w:t>Catalogs, status, history, logs, report list</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May execute immediately within permission</w:t>
            </w:r>
          </w:p>
        </w:tc>
      </w:tr>
      <w:tr>
        <w:trPr>
          <w:cantSplit/>
        </w:trPr>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Controlled</w:t>
            </w:r>
          </w:p>
        </w:tc>
        <w:tc>
          <w:tcPr>
            <w:tcW w:type="dxa" w:w="4100"/>
            <w:vAlign w:val="center"/>
            <w:tcMar>
              <w:top w:w="100" w:type="dxa"/>
              <w:start w:w="120" w:type="dxa"/>
              <w:bottom w:w="100" w:type="dxa"/>
              <w:end w:w="120" w:type="dxa"/>
            </w:tcMar>
          </w:tcPr>
          <w:p>
            <w:pPr>
              <w:spacing w:after="40" w:line="269" w:lineRule="auto"/>
            </w:pPr>
            <w:r>
              <w:rPr>
                <w:rFonts w:ascii="Calibri" w:hAnsi="Calibri"/>
                <w:color w:val="0B172A"/>
                <w:sz w:val="18"/>
              </w:rPr>
              <w:t>Generate report, run approved rule/process with non-destructive parameters</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Preflight plus concise confirmation</w:t>
            </w:r>
          </w:p>
        </w:tc>
      </w:tr>
      <w:tr>
        <w:trPr>
          <w:cantSplit/>
        </w:trPr>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Elevated</w:t>
            </w:r>
          </w:p>
        </w:tc>
        <w:tc>
          <w:tcPr>
            <w:tcW w:type="dxa" w:w="4100"/>
            <w:shd w:fill="F3F6FA"/>
            <w:vAlign w:val="center"/>
            <w:tcMar>
              <w:top w:w="100" w:type="dxa"/>
              <w:start w:w="120" w:type="dxa"/>
              <w:bottom w:w="100" w:type="dxa"/>
              <w:end w:w="120" w:type="dxa"/>
            </w:tcMar>
          </w:tcPr>
          <w:p>
            <w:pPr>
              <w:spacing w:after="40" w:line="269" w:lineRule="auto"/>
            </w:pPr>
            <w:r>
              <w:rPr>
                <w:rFonts w:ascii="Calibri" w:hAnsi="Calibri"/>
                <w:color w:val="0B172A"/>
                <w:sz w:val="18"/>
              </w:rPr>
              <w:t>Data/metadata import, Data Map clear, variable update, cube refresh</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Detailed impact review and explicit approval</w:t>
            </w:r>
          </w:p>
        </w:tc>
      </w:tr>
      <w:tr>
        <w:trPr>
          <w:cantSplit/>
        </w:trPr>
        <w:tc>
          <w:tcPr>
            <w:tcW w:type="dxa" w:w="1600"/>
            <w:vAlign w:val="center"/>
            <w:tcMar>
              <w:top w:w="100" w:type="dxa"/>
              <w:start w:w="120" w:type="dxa"/>
              <w:bottom w:w="100" w:type="dxa"/>
              <w:end w:w="120" w:type="dxa"/>
            </w:tcMar>
          </w:tcPr>
          <w:p>
            <w:pPr>
              <w:spacing w:after="40" w:line="269" w:lineRule="auto"/>
            </w:pPr>
            <w:r>
              <w:rPr>
                <w:rFonts w:ascii="Calibri" w:hAnsi="Calibri"/>
                <w:color w:val="0B172A"/>
                <w:sz w:val="18"/>
              </w:rPr>
              <w:t>Administrative</w:t>
            </w:r>
          </w:p>
        </w:tc>
        <w:tc>
          <w:tcPr>
            <w:tcW w:type="dxa" w:w="4100"/>
            <w:vAlign w:val="center"/>
            <w:tcMar>
              <w:top w:w="100" w:type="dxa"/>
              <w:start w:w="120" w:type="dxa"/>
              <w:bottom w:w="100" w:type="dxa"/>
              <w:end w:w="120" w:type="dxa"/>
            </w:tcMar>
          </w:tcPr>
          <w:p>
            <w:pPr>
              <w:spacing w:after="40" w:line="269" w:lineRule="auto"/>
            </w:pPr>
            <w:r>
              <w:rPr>
                <w:rFonts w:ascii="Calibri" w:hAnsi="Calibri"/>
                <w:color w:val="0B172A"/>
                <w:sz w:val="18"/>
              </w:rPr>
              <w:t>Security, daily maintenance, clone, snapshot import, application mode</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Admin role, maintenance window, two-person approval where required</w:t>
            </w:r>
          </w:p>
        </w:tc>
      </w:tr>
      <w:tr>
        <w:trPr>
          <w:cantSplit/>
        </w:trPr>
        <w:tc>
          <w:tcPr>
            <w:tcW w:type="dxa" w:w="1600"/>
            <w:shd w:fill="F3F6FA"/>
            <w:vAlign w:val="center"/>
            <w:tcMar>
              <w:top w:w="100" w:type="dxa"/>
              <w:start w:w="120" w:type="dxa"/>
              <w:bottom w:w="100" w:type="dxa"/>
              <w:end w:w="120" w:type="dxa"/>
            </w:tcMar>
          </w:tcPr>
          <w:p>
            <w:pPr>
              <w:spacing w:after="40" w:line="269" w:lineRule="auto"/>
            </w:pPr>
            <w:r>
              <w:rPr>
                <w:rFonts w:ascii="Calibri" w:hAnsi="Calibri"/>
                <w:color w:val="0B172A"/>
                <w:sz w:val="18"/>
              </w:rPr>
              <w:t>Prohibited autonomous</w:t>
            </w:r>
          </w:p>
        </w:tc>
        <w:tc>
          <w:tcPr>
            <w:tcW w:type="dxa" w:w="4100"/>
            <w:shd w:fill="F3F6FA"/>
            <w:vAlign w:val="center"/>
            <w:tcMar>
              <w:top w:w="100" w:type="dxa"/>
              <w:start w:w="120" w:type="dxa"/>
              <w:bottom w:w="100" w:type="dxa"/>
              <w:end w:w="120" w:type="dxa"/>
            </w:tcMar>
          </w:tcPr>
          <w:p>
            <w:pPr>
              <w:spacing w:after="40" w:line="269" w:lineRule="auto"/>
            </w:pPr>
            <w:r>
              <w:rPr>
                <w:rFonts w:ascii="Calibri" w:hAnsi="Calibri"/>
                <w:color w:val="0B172A"/>
                <w:sz w:val="18"/>
              </w:rPr>
              <w:t>Delete users/data, recreate service, unreviewed metadata/UDA design</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No autonomous execution; governed human procedure</w:t>
            </w:r>
          </w:p>
        </w:tc>
      </w:tr>
    </w:tbl>
    <w:p>
      <w:pPr>
        <w:spacing w:after="40"/>
      </w:pPr>
    </w:p>
    <w:p>
      <w:pPr>
        <w:pStyle w:val="Heading1"/>
      </w:pPr>
      <w:r>
        <w:t>8. How the current project supports the AI agent</w:t>
      </w:r>
    </w:p>
    <w:p>
      <w:r>
        <w:t>The project is already structured in the right direction. The agent should be an additional interface over the application layer—not a replacement for it.</w:t>
      </w:r>
    </w:p>
    <w:tbl>
      <w:tblPr>
        <w:tblStyle w:val="TableGrid"/>
        <w:tblW w:type="dxa" w:w="9360"/>
        <w:tblLayout w:type="fixed"/>
        <w:tblLook w:firstColumn="1" w:firstRow="1" w:lastColumn="0" w:lastRow="0" w:noHBand="0" w:noVBand="1" w:val="04A0"/>
        <w:jc w:val="left"/>
        <w:tblInd w:w="120" w:type="dxa"/>
      </w:tblPr>
      <w:tblGrid>
        <w:gridCol w:w="2200"/>
        <w:gridCol w:w="3500"/>
        <w:gridCol w:w="3660"/>
      </w:tblGrid>
      <w:tr>
        <w:trPr>
          <w:tblHeader w:val="true"/>
          <w:cantSplit/>
        </w:trPr>
        <w:tc>
          <w:tcPr>
            <w:tcW w:type="dxa" w:w="2200"/>
            <w:vAlign w:val="center"/>
            <w:tcMar>
              <w:top w:w="100" w:type="dxa"/>
              <w:start w:w="120" w:type="dxa"/>
              <w:bottom w:w="100" w:type="dxa"/>
              <w:end w:w="120" w:type="dxa"/>
            </w:tcMar>
            <w:shd w:fill="254DCC"/>
          </w:tcPr>
          <w:p>
            <w:r>
              <w:rPr>
                <w:rFonts w:ascii="Calibri" w:hAnsi="Calibri"/>
                <w:b/>
                <w:color w:val="FFFFFF"/>
                <w:sz w:val="19"/>
              </w:rPr>
              <w:t>Existing component</w:t>
            </w:r>
          </w:p>
        </w:tc>
        <w:tc>
          <w:tcPr>
            <w:tcW w:type="dxa" w:w="3500"/>
            <w:vAlign w:val="center"/>
            <w:tcMar>
              <w:top w:w="100" w:type="dxa"/>
              <w:start w:w="120" w:type="dxa"/>
              <w:bottom w:w="100" w:type="dxa"/>
              <w:end w:w="120" w:type="dxa"/>
            </w:tcMar>
            <w:shd w:fill="254DCC"/>
          </w:tcPr>
          <w:p>
            <w:r>
              <w:rPr>
                <w:rFonts w:ascii="Calibri" w:hAnsi="Calibri"/>
                <w:b/>
                <w:color w:val="FFFFFF"/>
                <w:sz w:val="19"/>
              </w:rPr>
              <w:t>Agent value</w:t>
            </w:r>
          </w:p>
        </w:tc>
        <w:tc>
          <w:tcPr>
            <w:tcW w:type="dxa" w:w="3660"/>
            <w:vAlign w:val="center"/>
            <w:tcMar>
              <w:top w:w="100" w:type="dxa"/>
              <w:start w:w="120" w:type="dxa"/>
              <w:bottom w:w="100" w:type="dxa"/>
              <w:end w:w="120" w:type="dxa"/>
            </w:tcMar>
            <w:shd w:fill="254DCC"/>
          </w:tcPr>
          <w:p>
            <w:r>
              <w:rPr>
                <w:rFonts w:ascii="Calibri" w:hAnsi="Calibri"/>
                <w:b/>
                <w:color w:val="FFFFFF"/>
                <w:sz w:val="19"/>
              </w:rPr>
              <w:t>Needed extension</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EPMClient</w:t>
            </w:r>
          </w:p>
        </w:tc>
        <w:tc>
          <w:tcPr>
            <w:tcW w:type="dxa" w:w="3500"/>
            <w:shd w:fill="F3F6FA"/>
            <w:vAlign w:val="center"/>
            <w:tcMar>
              <w:top w:w="100" w:type="dxa"/>
              <w:start w:w="120" w:type="dxa"/>
              <w:bottom w:w="100" w:type="dxa"/>
              <w:end w:w="120" w:type="dxa"/>
            </w:tcMar>
          </w:tcPr>
          <w:p>
            <w:pPr>
              <w:spacing w:after="40" w:line="269" w:lineRule="auto"/>
            </w:pPr>
            <w:r>
              <w:rPr>
                <w:rFonts w:ascii="Calibri" w:hAnsi="Calibri"/>
                <w:color w:val="0B172A"/>
                <w:sz w:val="18"/>
              </w:rPr>
              <w:t>Central Oracle request/authentication behavior</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OAuth provider, environment registry, correlation IDs</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Operation application services</w:t>
            </w:r>
          </w:p>
        </w:tc>
        <w:tc>
          <w:tcPr>
            <w:tcW w:type="dxa" w:w="3500"/>
            <w:vAlign w:val="center"/>
            <w:tcMar>
              <w:top w:w="100" w:type="dxa"/>
              <w:start w:w="120" w:type="dxa"/>
              <w:bottom w:w="100" w:type="dxa"/>
              <w:end w:w="120" w:type="dxa"/>
            </w:tcMar>
          </w:tcPr>
          <w:p>
            <w:pPr>
              <w:spacing w:after="40" w:line="269" w:lineRule="auto"/>
            </w:pPr>
            <w:r>
              <w:rPr>
                <w:rFonts w:ascii="Calibri" w:hAnsi="Calibri"/>
                <w:color w:val="0B172A"/>
                <w:sz w:val="18"/>
              </w:rPr>
              <w:t>Typed deterministic tools for individual tasks</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Formal capability descriptors and risk metadata</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Planning Process service</w:t>
            </w:r>
          </w:p>
        </w:tc>
        <w:tc>
          <w:tcPr>
            <w:tcW w:type="dxa" w:w="3500"/>
            <w:shd w:fill="F3F6FA"/>
            <w:vAlign w:val="center"/>
            <w:tcMar>
              <w:top w:w="100" w:type="dxa"/>
              <w:start w:w="120" w:type="dxa"/>
              <w:bottom w:w="100" w:type="dxa"/>
              <w:end w:w="120" w:type="dxa"/>
            </w:tcMar>
          </w:tcPr>
          <w:p>
            <w:pPr>
              <w:spacing w:after="40" w:line="269" w:lineRule="auto"/>
            </w:pPr>
            <w:r>
              <w:rPr>
                <w:rFonts w:ascii="Calibri" w:hAnsi="Calibri"/>
                <w:color w:val="0B172A"/>
                <w:sz w:val="18"/>
              </w:rPr>
              <w:t>Governed multi-step business action</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Agent-friendly preflight schema and approval record</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Pydantic/dataclass models</w:t>
            </w:r>
          </w:p>
        </w:tc>
        <w:tc>
          <w:tcPr>
            <w:tcW w:type="dxa" w:w="3500"/>
            <w:vAlign w:val="center"/>
            <w:tcMar>
              <w:top w:w="100" w:type="dxa"/>
              <w:start w:w="120" w:type="dxa"/>
              <w:bottom w:w="100" w:type="dxa"/>
              <w:end w:w="120" w:type="dxa"/>
            </w:tcMar>
          </w:tcPr>
          <w:p>
            <w:pPr>
              <w:spacing w:after="40" w:line="269" w:lineRule="auto"/>
            </w:pPr>
            <w:r>
              <w:rPr>
                <w:rFonts w:ascii="Calibri" w:hAnsi="Calibri"/>
                <w:color w:val="0B172A"/>
                <w:sz w:val="18"/>
              </w:rPr>
              <w:t>Constrained tool inputs and outputs</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Public versioned agent/API contracts</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Workflow engine</w:t>
            </w:r>
          </w:p>
        </w:tc>
        <w:tc>
          <w:tcPr>
            <w:tcW w:type="dxa" w:w="3500"/>
            <w:shd w:fill="F3F6FA"/>
            <w:vAlign w:val="center"/>
            <w:tcMar>
              <w:top w:w="100" w:type="dxa"/>
              <w:start w:w="120" w:type="dxa"/>
              <w:bottom w:w="100" w:type="dxa"/>
              <w:end w:w="120" w:type="dxa"/>
            </w:tcMar>
          </w:tcPr>
          <w:p>
            <w:pPr>
              <w:spacing w:after="40" w:line="269" w:lineRule="auto"/>
            </w:pPr>
            <w:r>
              <w:rPr>
                <w:rFonts w:ascii="Calibri" w:hAnsi="Calibri"/>
                <w:color w:val="0B172A"/>
                <w:sz w:val="18"/>
              </w:rPr>
              <w:t>Step results, fail-fast behavior, evidence</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Resume/retry policy and durable worker execution</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RBAC</w:t>
            </w:r>
          </w:p>
        </w:tc>
        <w:tc>
          <w:tcPr>
            <w:tcW w:type="dxa" w:w="3500"/>
            <w:vAlign w:val="center"/>
            <w:tcMar>
              <w:top w:w="100" w:type="dxa"/>
              <w:start w:w="120" w:type="dxa"/>
              <w:bottom w:w="100" w:type="dxa"/>
              <w:end w:w="120" w:type="dxa"/>
            </w:tcMar>
          </w:tcPr>
          <w:p>
            <w:pPr>
              <w:spacing w:after="40" w:line="269" w:lineRule="auto"/>
            </w:pPr>
            <w:r>
              <w:rPr>
                <w:rFonts w:ascii="Calibri" w:hAnsi="Calibri"/>
                <w:color w:val="0B172A"/>
                <w:sz w:val="18"/>
              </w:rPr>
              <w:t>User-specific capability boundary</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SSO/OIDC and Oracle authorization alignment</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Execution actor/trigger</w:t>
            </w:r>
          </w:p>
        </w:tc>
        <w:tc>
          <w:tcPr>
            <w:tcW w:type="dxa" w:w="3500"/>
            <w:shd w:fill="F3F6FA"/>
            <w:vAlign w:val="center"/>
            <w:tcMar>
              <w:top w:w="100" w:type="dxa"/>
              <w:start w:w="120" w:type="dxa"/>
              <w:bottom w:w="100" w:type="dxa"/>
              <w:end w:w="120" w:type="dxa"/>
            </w:tcMar>
          </w:tcPr>
          <w:p>
            <w:pPr>
              <w:spacing w:after="40" w:line="269" w:lineRule="auto"/>
            </w:pPr>
            <w:r>
              <w:rPr>
                <w:rFonts w:ascii="Calibri" w:hAnsi="Calibri"/>
                <w:color w:val="0B172A"/>
                <w:sz w:val="18"/>
              </w:rPr>
              <w:t>Audit identifies AI_AGENT actions</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Store initiating user, agent version, plan hash, approval</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SQLite repositories</w:t>
            </w:r>
          </w:p>
        </w:tc>
        <w:tc>
          <w:tcPr>
            <w:tcW w:type="dxa" w:w="3500"/>
            <w:vAlign w:val="center"/>
            <w:tcMar>
              <w:top w:w="100" w:type="dxa"/>
              <w:start w:w="120" w:type="dxa"/>
              <w:bottom w:w="100" w:type="dxa"/>
              <w:end w:w="120" w:type="dxa"/>
            </w:tcMar>
          </w:tcPr>
          <w:p>
            <w:pPr>
              <w:spacing w:after="40" w:line="269" w:lineRule="auto"/>
            </w:pPr>
            <w:r>
              <w:rPr>
                <w:rFonts w:ascii="Calibri" w:hAnsi="Calibri"/>
                <w:color w:val="0B172A"/>
                <w:sz w:val="18"/>
              </w:rPr>
              <w:t>Local durable state for development and single node</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Schema migrations, retention, PostgreSQL for multi-node scale</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FastAPI/Jinja UI</w:t>
            </w:r>
          </w:p>
        </w:tc>
        <w:tc>
          <w:tcPr>
            <w:tcW w:type="dxa" w:w="3500"/>
            <w:shd w:fill="F3F6FA"/>
            <w:vAlign w:val="center"/>
            <w:tcMar>
              <w:top w:w="100" w:type="dxa"/>
              <w:start w:w="120" w:type="dxa"/>
              <w:bottom w:w="100" w:type="dxa"/>
              <w:end w:w="120" w:type="dxa"/>
            </w:tcMar>
          </w:tcPr>
          <w:p>
            <w:pPr>
              <w:spacing w:after="40" w:line="269" w:lineRule="auto"/>
            </w:pPr>
            <w:r>
              <w:rPr>
                <w:rFonts w:ascii="Calibri" w:hAnsi="Calibri"/>
                <w:color w:val="0B172A"/>
                <w:sz w:val="18"/>
              </w:rPr>
              <w:t>Existing human approval and monitoring surface</w:t>
            </w:r>
          </w:p>
        </w:tc>
        <w:tc>
          <w:tcPr>
            <w:tcW w:type="dxa" w:w="3660"/>
            <w:shd w:fill="F3F6FA"/>
            <w:vAlign w:val="center"/>
            <w:tcMar>
              <w:top w:w="100" w:type="dxa"/>
              <w:start w:w="120" w:type="dxa"/>
              <w:bottom w:w="100" w:type="dxa"/>
              <w:end w:w="120" w:type="dxa"/>
            </w:tcMar>
          </w:tcPr>
          <w:p>
            <w:pPr>
              <w:spacing w:after="40" w:line="269" w:lineRule="auto"/>
            </w:pPr>
            <w:r>
              <w:rPr>
                <w:rFonts w:ascii="Calibri" w:hAnsi="Calibri"/>
                <w:color w:val="0B172A"/>
                <w:sz w:val="18"/>
              </w:rPr>
              <w:t>Versioned API for React, Excel, agent, and external integrations</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Preflight services</w:t>
            </w:r>
          </w:p>
        </w:tc>
        <w:tc>
          <w:tcPr>
            <w:tcW w:type="dxa" w:w="3500"/>
            <w:vAlign w:val="center"/>
            <w:tcMar>
              <w:top w:w="100" w:type="dxa"/>
              <w:start w:w="120" w:type="dxa"/>
              <w:bottom w:w="100" w:type="dxa"/>
              <w:end w:w="120" w:type="dxa"/>
            </w:tcMar>
          </w:tcPr>
          <w:p>
            <w:pPr>
              <w:spacing w:after="40" w:line="269" w:lineRule="auto"/>
            </w:pPr>
            <w:r>
              <w:rPr>
                <w:rFonts w:ascii="Calibri" w:hAnsi="Calibri"/>
                <w:color w:val="0B172A"/>
                <w:sz w:val="18"/>
              </w:rPr>
              <w:t>Read-only validation before action</w:t>
            </w:r>
          </w:p>
        </w:tc>
        <w:tc>
          <w:tcPr>
            <w:tcW w:type="dxa" w:w="3660"/>
            <w:vAlign w:val="center"/>
            <w:tcMar>
              <w:top w:w="100" w:type="dxa"/>
              <w:start w:w="120" w:type="dxa"/>
              <w:bottom w:w="100" w:type="dxa"/>
              <w:end w:w="120" w:type="dxa"/>
            </w:tcMar>
          </w:tcPr>
          <w:p>
            <w:pPr>
              <w:spacing w:after="40" w:line="269" w:lineRule="auto"/>
            </w:pPr>
            <w:r>
              <w:rPr>
                <w:rFonts w:ascii="Calibri" w:hAnsi="Calibri"/>
                <w:color w:val="0B172A"/>
                <w:sz w:val="18"/>
              </w:rPr>
              <w:t>Standard preflight interface across every tool</w:t>
            </w:r>
          </w:p>
        </w:tc>
      </w:tr>
    </w:tbl>
    <w:p>
      <w:pPr>
        <w:spacing w:after="40"/>
      </w:pPr>
    </w:p>
    <w:p>
      <w:pPr>
        <w:pStyle w:val="Heading2"/>
      </w:pPr>
      <w:r>
        <w:t>8.1 Recommended agent architecture</w:t>
      </w:r>
    </w:p>
    <w:p>
      <w:pPr>
        <w:spacing w:after="80"/>
        <w:ind w:left="518" w:hanging="346"/>
      </w:pPr>
      <w:r>
        <w:t>1.  Conversation/API channel receives the signed-in user's request.</w:t>
      </w:r>
    </w:p>
    <w:p>
      <w:pPr>
        <w:spacing w:after="80"/>
        <w:ind w:left="518" w:hanging="346"/>
      </w:pPr>
      <w:r>
        <w:t>2.  Agent coordinator selects a capability from an allowlisted registry.</w:t>
      </w:r>
    </w:p>
    <w:p>
      <w:pPr>
        <w:spacing w:after="80"/>
        <w:ind w:left="518" w:hanging="346"/>
      </w:pPr>
      <w:r>
        <w:t>3.  Authorization service checks platform permission and action risk.</w:t>
      </w:r>
    </w:p>
    <w:p>
      <w:pPr>
        <w:spacing w:after="80"/>
        <w:ind w:left="518" w:hanging="346"/>
      </w:pPr>
      <w:r>
        <w:t>4.  Discovery and preflight services resolve current Oracle state.</w:t>
      </w:r>
    </w:p>
    <w:p>
      <w:pPr>
        <w:spacing w:after="80"/>
        <w:ind w:left="518" w:hanging="346"/>
      </w:pPr>
      <w:r>
        <w:t>5.  Approval service freezes the exact plan and receives human confirmation.</w:t>
      </w:r>
    </w:p>
    <w:p>
      <w:pPr>
        <w:spacing w:after="80"/>
        <w:ind w:left="518" w:hanging="346"/>
      </w:pPr>
      <w:r>
        <w:t>6.  Application service executes through EPMClient or the approved EPM Automate adapter.</w:t>
      </w:r>
    </w:p>
    <w:p>
      <w:pPr>
        <w:spacing w:after="80"/>
        <w:ind w:left="518" w:hanging="346"/>
      </w:pPr>
      <w:r>
        <w:t>7.  Durable worker monitors Oracle independently of the conversation.</w:t>
      </w:r>
    </w:p>
    <w:p>
      <w:pPr>
        <w:spacing w:after="80"/>
        <w:ind w:left="518" w:hanging="346"/>
      </w:pPr>
      <w:r>
        <w:t>8.  Workflow repository records evidence; notification service reports completion.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DEF7ED"/>
          </w:tcPr>
          <w:p>
            <w:pPr>
              <w:spacing w:after="0"/>
            </w:pPr>
            <w:r>
              <w:rPr>
                <w:rFonts w:ascii="Calibri" w:hAnsi="Calibri"/>
                <w:b/>
                <w:color w:val="08765A"/>
              </w:rPr>
              <w:t xml:space="preserve">Future UI flexibility: </w:t>
            </w:r>
            <w:r>
              <w:rPr>
                <w:rFonts w:ascii="Calibri" w:hAnsi="Calibri"/>
                <w:color w:val="0B172A"/>
              </w:rPr>
              <w:t>A React interface, Excel add-in, Teams bot, or AI chat can reuse the same backend contracts. The visual UI may be rewritten, but Oracle automation logic should not be duplicated.</w:t>
            </w:r>
          </w:p>
        </w:tc>
      </w:tr>
    </w:tbl>
    <w:p>
      <w:pPr>
        <w:spacing w:after="40"/>
      </w:pPr>
    </w:p>
    <w:p>
      <w:pPr>
        <w:pStyle w:val="Heading1"/>
      </w:pPr>
      <w:r>
        <w:t>9. Areas of improvement</w:t>
      </w:r>
    </w:p>
    <w:p>
      <w:pPr>
        <w:pStyle w:val="Heading2"/>
      </w:pPr>
      <w:r>
        <w:t>9.1 Highest-priority production improvements</w:t>
      </w:r>
    </w:p>
    <w:tbl>
      <w:tblPr>
        <w:tblStyle w:val="TableGrid"/>
        <w:tblW w:type="dxa" w:w="9360"/>
        <w:tblLayout w:type="fixed"/>
        <w:tblLook w:firstColumn="1" w:firstRow="1" w:lastColumn="0" w:lastRow="0" w:noHBand="0" w:noVBand="1" w:val="04A0"/>
        <w:jc w:val="left"/>
        <w:tblInd w:w="120" w:type="dxa"/>
      </w:tblPr>
      <w:tblGrid>
        <w:gridCol w:w="2200"/>
        <w:gridCol w:w="3580"/>
        <w:gridCol w:w="3580"/>
      </w:tblGrid>
      <w:tr>
        <w:trPr>
          <w:tblHeader w:val="true"/>
          <w:cantSplit/>
        </w:trPr>
        <w:tc>
          <w:tcPr>
            <w:tcW w:type="dxa" w:w="2200"/>
            <w:vAlign w:val="center"/>
            <w:tcMar>
              <w:top w:w="100" w:type="dxa"/>
              <w:start w:w="120" w:type="dxa"/>
              <w:bottom w:w="100" w:type="dxa"/>
              <w:end w:w="120" w:type="dxa"/>
            </w:tcMar>
            <w:shd w:fill="254DCC"/>
          </w:tcPr>
          <w:p>
            <w:r>
              <w:rPr>
                <w:rFonts w:ascii="Calibri" w:hAnsi="Calibri"/>
                <w:b/>
                <w:color w:val="FFFFFF"/>
                <w:sz w:val="19"/>
              </w:rPr>
              <w:t>Improvement</w:t>
            </w:r>
          </w:p>
        </w:tc>
        <w:tc>
          <w:tcPr>
            <w:tcW w:type="dxa" w:w="3580"/>
            <w:vAlign w:val="center"/>
            <w:tcMar>
              <w:top w:w="100" w:type="dxa"/>
              <w:start w:w="120" w:type="dxa"/>
              <w:bottom w:w="100" w:type="dxa"/>
              <w:end w:w="120" w:type="dxa"/>
            </w:tcMar>
            <w:shd w:fill="254DCC"/>
          </w:tcPr>
          <w:p>
            <w:r>
              <w:rPr>
                <w:rFonts w:ascii="Calibri" w:hAnsi="Calibri"/>
                <w:b/>
                <w:color w:val="FFFFFF"/>
                <w:sz w:val="19"/>
              </w:rPr>
              <w:t>Why it matters</w:t>
            </w:r>
          </w:p>
        </w:tc>
        <w:tc>
          <w:tcPr>
            <w:tcW w:type="dxa" w:w="3580"/>
            <w:vAlign w:val="center"/>
            <w:tcMar>
              <w:top w:w="100" w:type="dxa"/>
              <w:start w:w="120" w:type="dxa"/>
              <w:bottom w:w="100" w:type="dxa"/>
              <w:end w:w="120" w:type="dxa"/>
            </w:tcMar>
            <w:shd w:fill="254DCC"/>
          </w:tcPr>
          <w:p>
            <w:r>
              <w:rPr>
                <w:rFonts w:ascii="Calibri" w:hAnsi="Calibri"/>
                <w:b/>
                <w:color w:val="FFFFFF"/>
                <w:sz w:val="19"/>
              </w:rPr>
              <w:t>Recommended direction</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OAuth 2 for Oracle Cloud</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Avoid long-lived Oracle passwords and align with cloud identity</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Pluggable Basic/OAuth provider; secure refresh-token lifecycle</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Secret management</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.env and encrypted files are development-oriented</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Windows Credential Manager initially; enterprise vault later</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Durable worker queue</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In-process threads are not restart-safe or multi-node</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Worker service with persistent jobs, retries, leases, and heartbeats</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Database migrations</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Tables currently self-initialize</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Versioned migrations, backup, restore, retention, and upgrade tests</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PostgreSQL option</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SQLite is best for one host, not distributed workers</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Repository interfaces already help; migrate when concurrency requires</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SSO and identity federation</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Local users are suitable for development, not final enterprise identity</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OIDC/SAML via Microsoft Entra ID, Okta, or corporate IdP</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Multi-environment model</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Real implementations have Dev/Test/Prod and multiple applications</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Environment registry, scoped credentials, promotion policy</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Capability discovery</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Some lists are incomplete in public REST</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REST-first adapters, cached registrations, EPM Automate fallback only when useful</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Observability</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Logs alone are insufficient at scale</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Structured logs, metrics, traces, Oracle request correlation, health dashboards</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Security hardening</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Enterprise audit and sensitive data need stronger controls</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Encryption at rest, redaction, immutable audit export, session policy, rate limits</w:t>
            </w:r>
          </w:p>
        </w:tc>
      </w:tr>
      <w:tr>
        <w:trPr>
          <w:cantSplit/>
        </w:trPr>
        <w:tc>
          <w:tcPr>
            <w:tcW w:type="dxa" w:w="2200"/>
            <w:shd w:fill="F3F6FA"/>
            <w:vAlign w:val="center"/>
            <w:tcMar>
              <w:top w:w="100" w:type="dxa"/>
              <w:start w:w="120" w:type="dxa"/>
              <w:bottom w:w="100" w:type="dxa"/>
              <w:end w:w="120" w:type="dxa"/>
            </w:tcMar>
          </w:tcPr>
          <w:p>
            <w:pPr>
              <w:spacing w:after="40" w:line="269" w:lineRule="auto"/>
            </w:pPr>
            <w:r>
              <w:rPr>
                <w:rFonts w:ascii="Calibri" w:hAnsi="Calibri"/>
                <w:color w:val="0B172A"/>
                <w:sz w:val="18"/>
              </w:rPr>
              <w:t>Validation framework</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Oracle job SUCCESS is not business reconciliation</w:t>
            </w:r>
          </w:p>
        </w:tc>
        <w:tc>
          <w:tcPr>
            <w:tcW w:type="dxa" w:w="3580"/>
            <w:shd w:fill="F3F6FA"/>
            <w:vAlign w:val="center"/>
            <w:tcMar>
              <w:top w:w="100" w:type="dxa"/>
              <w:start w:w="120" w:type="dxa"/>
              <w:bottom w:w="100" w:type="dxa"/>
              <w:end w:w="120" w:type="dxa"/>
            </w:tcMar>
          </w:tcPr>
          <w:p>
            <w:pPr>
              <w:spacing w:after="40" w:line="269" w:lineRule="auto"/>
            </w:pPr>
            <w:r>
              <w:rPr>
                <w:rFonts w:ascii="Calibri" w:hAnsi="Calibri"/>
                <w:color w:val="0B172A"/>
                <w:sz w:val="18"/>
              </w:rPr>
              <w:t>Control totals, source-target checks, thresholds, sign-off status</w:t>
            </w:r>
          </w:p>
        </w:tc>
      </w:tr>
      <w:tr>
        <w:trPr>
          <w:cantSplit/>
        </w:trPr>
        <w:tc>
          <w:tcPr>
            <w:tcW w:type="dxa" w:w="2200"/>
            <w:vAlign w:val="center"/>
            <w:tcMar>
              <w:top w:w="100" w:type="dxa"/>
              <w:start w:w="120" w:type="dxa"/>
              <w:bottom w:w="100" w:type="dxa"/>
              <w:end w:w="120" w:type="dxa"/>
            </w:tcMar>
          </w:tcPr>
          <w:p>
            <w:pPr>
              <w:spacing w:after="40" w:line="269" w:lineRule="auto"/>
            </w:pPr>
            <w:r>
              <w:rPr>
                <w:rFonts w:ascii="Calibri" w:hAnsi="Calibri"/>
                <w:color w:val="0B172A"/>
                <w:sz w:val="18"/>
              </w:rPr>
              <w:t>API lifecycle</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Excel, React, agent, and integrations need stable contracts</w:t>
            </w:r>
          </w:p>
        </w:tc>
        <w:tc>
          <w:tcPr>
            <w:tcW w:type="dxa" w:w="3580"/>
            <w:vAlign w:val="center"/>
            <w:tcMar>
              <w:top w:w="100" w:type="dxa"/>
              <w:start w:w="120" w:type="dxa"/>
              <w:bottom w:w="100" w:type="dxa"/>
              <w:end w:w="120" w:type="dxa"/>
            </w:tcMar>
          </w:tcPr>
          <w:p>
            <w:pPr>
              <w:spacing w:after="40" w:line="269" w:lineRule="auto"/>
            </w:pPr>
            <w:r>
              <w:rPr>
                <w:rFonts w:ascii="Calibri" w:hAnsi="Calibri"/>
                <w:color w:val="0B172A"/>
                <w:sz w:val="18"/>
              </w:rPr>
              <w:t>Versioned public API, OpenAPI, idempotency, webhook/events</w:t>
            </w:r>
          </w:p>
        </w:tc>
      </w:tr>
    </w:tbl>
    <w:p>
      <w:pPr>
        <w:spacing w:after="40"/>
      </w:pPr>
    </w:p>
    <w:p>
      <w:pPr>
        <w:pStyle w:val="Heading2"/>
      </w:pPr>
      <w:r>
        <w:t>9.2 Functional improvements that reduce Oracle visits</w:t>
      </w:r>
    </w:p>
    <w:p>
      <w:pPr>
        <w:pStyle w:val="ListBullet"/>
      </w:pPr>
      <w:r>
        <w:t>Daily Maintenance workspace: readiness, forced maintenance, skip-next option, snapshot verification, activity report, and notification.</w:t>
      </w:r>
    </w:p>
    <w:p>
      <w:pPr>
        <w:pStyle w:val="ListBullet"/>
      </w:pPr>
      <w:r>
        <w:t>Metadata and data export services with artifact download and retention.</w:t>
      </w:r>
    </w:p>
    <w:p>
      <w:pPr>
        <w:pStyle w:val="ListBullet"/>
      </w:pPr>
      <w:r>
        <w:t>Planning Unit approvals work queue and actions.</w:t>
      </w:r>
    </w:p>
    <w:p>
      <w:pPr>
        <w:pStyle w:val="ListBullet"/>
      </w:pPr>
      <w:r>
        <w:t>User variables and preferences workspace.</w:t>
      </w:r>
    </w:p>
    <w:p>
      <w:pPr>
        <w:pStyle w:val="ListBullet"/>
      </w:pPr>
      <w:r>
        <w:t>Library/report artifact execution, books/bursting where supported, and evidence packaging.</w:t>
      </w:r>
    </w:p>
    <w:p>
      <w:pPr>
        <w:pStyle w:val="ListBullet"/>
      </w:pPr>
      <w:r>
        <w:t>Oracle users/groups/roles and access-report synchronization under Platform Administrator control.</w:t>
      </w:r>
    </w:p>
    <w:p>
      <w:pPr>
        <w:pStyle w:val="ListBullet"/>
      </w:pPr>
      <w:r>
        <w:t>Environment snapshot, clone, promotion, smoke-test, and rollback workflows.</w:t>
      </w:r>
    </w:p>
    <w:p>
      <w:pPr>
        <w:pStyle w:val="ListBullet"/>
      </w:pPr>
      <w:r>
        <w:t>Excel interface that calls the same backend for Process selection, file upload, run, status, and report download.</w:t>
      </w:r>
    </w:p>
    <w:p>
      <w:pPr>
        <w:pStyle w:val="ListBullet"/>
      </w:pPr>
      <w:r>
        <w:t>Business control library for balances, row counts, aggregate totals, and source-target reconciliation.</w:t>
      </w:r>
    </w:p>
    <w:p>
      <w:pPr>
        <w:pStyle w:val="Heading1"/>
      </w:pPr>
      <w:r>
        <w:t>10. Maximum-automation roadmap</w:t>
      </w:r>
    </w:p>
    <w:tbl>
      <w:tblPr>
        <w:tblStyle w:val="TableGrid"/>
        <w:tblW w:type="dxa" w:w="9360"/>
        <w:tblLayout w:type="fixed"/>
        <w:tblLook w:firstColumn="1" w:firstRow="1" w:lastColumn="0" w:lastRow="0" w:noHBand="0" w:noVBand="1" w:val="04A0"/>
        <w:jc w:val="left"/>
        <w:tblInd w:w="120" w:type="dxa"/>
      </w:tblPr>
      <w:tblGrid>
        <w:gridCol w:w="1700"/>
        <w:gridCol w:w="1200"/>
        <w:gridCol w:w="4160"/>
        <w:gridCol w:w="2300"/>
      </w:tblGrid>
      <w:tr>
        <w:trPr>
          <w:tblHeader w:val="true"/>
          <w:cantSplit/>
        </w:trPr>
        <w:tc>
          <w:tcPr>
            <w:tcW w:type="dxa" w:w="1700"/>
            <w:vAlign w:val="center"/>
            <w:tcMar>
              <w:top w:w="100" w:type="dxa"/>
              <w:start w:w="120" w:type="dxa"/>
              <w:bottom w:w="100" w:type="dxa"/>
              <w:end w:w="120" w:type="dxa"/>
            </w:tcMar>
            <w:shd w:fill="254DCC"/>
          </w:tcPr>
          <w:p>
            <w:r>
              <w:rPr>
                <w:rFonts w:ascii="Calibri" w:hAnsi="Calibri"/>
                <w:b/>
                <w:color w:val="FFFFFF"/>
                <w:sz w:val="19"/>
              </w:rPr>
              <w:t>Phase</w:t>
            </w:r>
          </w:p>
        </w:tc>
        <w:tc>
          <w:tcPr>
            <w:tcW w:type="dxa" w:w="1200"/>
            <w:vAlign w:val="center"/>
            <w:tcMar>
              <w:top w:w="100" w:type="dxa"/>
              <w:start w:w="120" w:type="dxa"/>
              <w:bottom w:w="100" w:type="dxa"/>
              <w:end w:w="120" w:type="dxa"/>
            </w:tcMar>
            <w:shd w:fill="254DCC"/>
          </w:tcPr>
          <w:p>
            <w:r>
              <w:rPr>
                <w:rFonts w:ascii="Calibri" w:hAnsi="Calibri"/>
                <w:b/>
                <w:color w:val="FFFFFF"/>
                <w:sz w:val="19"/>
              </w:rPr>
              <w:t>Timing</w:t>
            </w:r>
          </w:p>
        </w:tc>
        <w:tc>
          <w:tcPr>
            <w:tcW w:type="dxa" w:w="4160"/>
            <w:vAlign w:val="center"/>
            <w:tcMar>
              <w:top w:w="100" w:type="dxa"/>
              <w:start w:w="120" w:type="dxa"/>
              <w:bottom w:w="100" w:type="dxa"/>
              <w:end w:w="120" w:type="dxa"/>
            </w:tcMar>
            <w:shd w:fill="254DCC"/>
          </w:tcPr>
          <w:p>
            <w:r>
              <w:rPr>
                <w:rFonts w:ascii="Calibri" w:hAnsi="Calibri"/>
                <w:b/>
                <w:color w:val="FFFFFF"/>
                <w:sz w:val="19"/>
              </w:rPr>
              <w:t>Scope</w:t>
            </w:r>
          </w:p>
        </w:tc>
        <w:tc>
          <w:tcPr>
            <w:tcW w:type="dxa" w:w="2300"/>
            <w:vAlign w:val="center"/>
            <w:tcMar>
              <w:top w:w="100" w:type="dxa"/>
              <w:start w:w="120" w:type="dxa"/>
              <w:bottom w:w="100" w:type="dxa"/>
              <w:end w:w="120" w:type="dxa"/>
            </w:tcMar>
            <w:shd w:fill="254DCC"/>
          </w:tcPr>
          <w:p>
            <w:r>
              <w:rPr>
                <w:rFonts w:ascii="Calibri" w:hAnsi="Calibri"/>
                <w:b/>
                <w:color w:val="FFFFFF"/>
                <w:sz w:val="19"/>
              </w:rPr>
              <w:t>Outcome</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0. Foundation</w:t>
            </w:r>
          </w:p>
        </w:tc>
        <w:tc>
          <w:tcPr>
            <w:tcW w:type="dxa" w:w="1200"/>
            <w:shd w:fill="F3F6FA"/>
            <w:vAlign w:val="center"/>
            <w:tcMar>
              <w:top w:w="100" w:type="dxa"/>
              <w:start w:w="120" w:type="dxa"/>
              <w:bottom w:w="100" w:type="dxa"/>
              <w:end w:w="120" w:type="dxa"/>
            </w:tcMar>
          </w:tcPr>
          <w:p>
            <w:pPr>
              <w:spacing w:after="40" w:line="269" w:lineRule="auto"/>
            </w:pPr>
            <w:r>
              <w:rPr>
                <w:rFonts w:ascii="Calibri" w:hAnsi="Calibri"/>
                <w:color w:val="0B172A"/>
                <w:sz w:val="18"/>
              </w:rPr>
              <w:t>Current</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Core operations, Processes, schedules, reports, RBAC, history</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Stable governed automation core</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1. Cloud hardening</w:t>
            </w:r>
          </w:p>
        </w:tc>
        <w:tc>
          <w:tcPr>
            <w:tcW w:type="dxa" w:w="1200"/>
            <w:vAlign w:val="center"/>
            <w:tcMar>
              <w:top w:w="100" w:type="dxa"/>
              <w:start w:w="120" w:type="dxa"/>
              <w:bottom w:w="100" w:type="dxa"/>
              <w:end w:w="120" w:type="dxa"/>
            </w:tcMar>
          </w:tcPr>
          <w:p>
            <w:pPr>
              <w:spacing w:after="40" w:line="269" w:lineRule="auto"/>
            </w:pPr>
            <w:r>
              <w:rPr>
                <w:rFonts w:ascii="Calibri" w:hAnsi="Calibri"/>
                <w:color w:val="0B172A"/>
                <w:sz w:val="18"/>
              </w:rPr>
              <w:t>Next</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OAuth, secrets, cloud endpoint parity, capability discovery, migrations</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Secure cloud-ready baseline</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2. Daily operations</w:t>
            </w:r>
          </w:p>
        </w:tc>
        <w:tc>
          <w:tcPr>
            <w:tcW w:type="dxa" w:w="1200"/>
            <w:shd w:fill="F3F6FA"/>
            <w:vAlign w:val="center"/>
            <w:tcMar>
              <w:top w:w="100" w:type="dxa"/>
              <w:start w:w="120" w:type="dxa"/>
              <w:bottom w:w="100" w:type="dxa"/>
              <w:end w:w="120" w:type="dxa"/>
            </w:tcMar>
          </w:tcPr>
          <w:p>
            <w:pPr>
              <w:spacing w:after="40" w:line="269" w:lineRule="auto"/>
            </w:pPr>
            <w:r>
              <w:rPr>
                <w:rFonts w:ascii="Calibri" w:hAnsi="Calibri"/>
                <w:color w:val="0B172A"/>
                <w:sz w:val="18"/>
              </w:rPr>
              <w:t>Next</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Maintenance, exports, snapshots, activity reports, retention</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Administrators leave Oracle for routine operations</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3. Planning governance</w:t>
            </w:r>
          </w:p>
        </w:tc>
        <w:tc>
          <w:tcPr>
            <w:tcW w:type="dxa" w:w="1200"/>
            <w:vAlign w:val="center"/>
            <w:tcMar>
              <w:top w:w="100" w:type="dxa"/>
              <w:start w:w="120" w:type="dxa"/>
              <w:bottom w:w="100" w:type="dxa"/>
              <w:end w:w="120" w:type="dxa"/>
            </w:tcMar>
          </w:tcPr>
          <w:p>
            <w:pPr>
              <w:spacing w:after="40" w:line="269" w:lineRule="auto"/>
            </w:pPr>
            <w:r>
              <w:rPr>
                <w:rFonts w:ascii="Calibri" w:hAnsi="Calibri"/>
                <w:color w:val="0B172A"/>
                <w:sz w:val="18"/>
              </w:rPr>
              <w:t>Later</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Approvals, user variables, validation controls, evidence packs</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Planners and auditors use one workspace</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4. Integration surfaces</w:t>
            </w:r>
          </w:p>
        </w:tc>
        <w:tc>
          <w:tcPr>
            <w:tcW w:type="dxa" w:w="1200"/>
            <w:shd w:fill="F3F6FA"/>
            <w:vAlign w:val="center"/>
            <w:tcMar>
              <w:top w:w="100" w:type="dxa"/>
              <w:start w:w="120" w:type="dxa"/>
              <w:bottom w:w="100" w:type="dxa"/>
              <w:end w:w="120" w:type="dxa"/>
            </w:tcMar>
          </w:tcPr>
          <w:p>
            <w:pPr>
              <w:spacing w:after="40" w:line="269" w:lineRule="auto"/>
            </w:pPr>
            <w:r>
              <w:rPr>
                <w:rFonts w:ascii="Calibri" w:hAnsi="Calibri"/>
                <w:color w:val="0B172A"/>
                <w:sz w:val="18"/>
              </w:rPr>
              <w:t>Later</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Versioned API, Excel interface, webhooks, enterprise scheduler</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Same automation from web and Excel</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5. Read-only AI copilot</w:t>
            </w:r>
          </w:p>
        </w:tc>
        <w:tc>
          <w:tcPr>
            <w:tcW w:type="dxa" w:w="1200"/>
            <w:vAlign w:val="center"/>
            <w:tcMar>
              <w:top w:w="100" w:type="dxa"/>
              <w:start w:w="120" w:type="dxa"/>
              <w:bottom w:w="100" w:type="dxa"/>
              <w:end w:w="120" w:type="dxa"/>
            </w:tcMar>
          </w:tcPr>
          <w:p>
            <w:pPr>
              <w:spacing w:after="40" w:line="269" w:lineRule="auto"/>
            </w:pPr>
            <w:r>
              <w:rPr>
                <w:rFonts w:ascii="Calibri" w:hAnsi="Calibri"/>
                <w:color w:val="0B172A"/>
                <w:sz w:val="18"/>
              </w:rPr>
              <w:t>Later</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Catalog/history questions, error explanations, Process guidance</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Low-risk adoption and feedback</w:t>
            </w:r>
          </w:p>
        </w:tc>
      </w:tr>
      <w:tr>
        <w:trPr>
          <w:cantSplit/>
        </w:trPr>
        <w:tc>
          <w:tcPr>
            <w:tcW w:type="dxa" w:w="1700"/>
            <w:shd w:fill="F3F6FA"/>
            <w:vAlign w:val="center"/>
            <w:tcMar>
              <w:top w:w="100" w:type="dxa"/>
              <w:start w:w="120" w:type="dxa"/>
              <w:bottom w:w="100" w:type="dxa"/>
              <w:end w:w="120" w:type="dxa"/>
            </w:tcMar>
          </w:tcPr>
          <w:p>
            <w:pPr>
              <w:spacing w:after="40" w:line="269" w:lineRule="auto"/>
            </w:pPr>
            <w:r>
              <w:rPr>
                <w:rFonts w:ascii="Calibri" w:hAnsi="Calibri"/>
                <w:color w:val="0B172A"/>
                <w:sz w:val="18"/>
              </w:rPr>
              <w:t>6. Governed AI actions</w:t>
            </w:r>
          </w:p>
        </w:tc>
        <w:tc>
          <w:tcPr>
            <w:tcW w:type="dxa" w:w="1200"/>
            <w:shd w:fill="F3F6FA"/>
            <w:vAlign w:val="center"/>
            <w:tcMar>
              <w:top w:w="100" w:type="dxa"/>
              <w:start w:w="120" w:type="dxa"/>
              <w:bottom w:w="100" w:type="dxa"/>
              <w:end w:w="120" w:type="dxa"/>
            </w:tcMar>
          </w:tcPr>
          <w:p>
            <w:pPr>
              <w:spacing w:after="40" w:line="269" w:lineRule="auto"/>
            </w:pPr>
            <w:r>
              <w:rPr>
                <w:rFonts w:ascii="Calibri" w:hAnsi="Calibri"/>
                <w:color w:val="0B172A"/>
                <w:sz w:val="18"/>
              </w:rPr>
              <w:t>Later</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Tool registry, policy engine, approval snapshots, controlled execution</w:t>
            </w:r>
          </w:p>
        </w:tc>
        <w:tc>
          <w:tcPr>
            <w:tcW w:type="dxa" w:w="2300"/>
            <w:shd w:fill="F3F6FA"/>
            <w:vAlign w:val="center"/>
            <w:tcMar>
              <w:top w:w="100" w:type="dxa"/>
              <w:start w:w="120" w:type="dxa"/>
              <w:bottom w:w="100" w:type="dxa"/>
              <w:end w:w="120" w:type="dxa"/>
            </w:tcMar>
          </w:tcPr>
          <w:p>
            <w:pPr>
              <w:spacing w:after="40" w:line="269" w:lineRule="auto"/>
            </w:pPr>
            <w:r>
              <w:rPr>
                <w:rFonts w:ascii="Calibri" w:hAnsi="Calibri"/>
                <w:color w:val="0B172A"/>
                <w:sz w:val="18"/>
              </w:rPr>
              <w:t>Agent runs approved work safely</w:t>
            </w:r>
          </w:p>
        </w:tc>
      </w:tr>
      <w:tr>
        <w:trPr>
          <w:cantSplit/>
        </w:trPr>
        <w:tc>
          <w:tcPr>
            <w:tcW w:type="dxa" w:w="1700"/>
            <w:vAlign w:val="center"/>
            <w:tcMar>
              <w:top w:w="100" w:type="dxa"/>
              <w:start w:w="120" w:type="dxa"/>
              <w:bottom w:w="100" w:type="dxa"/>
              <w:end w:w="120" w:type="dxa"/>
            </w:tcMar>
          </w:tcPr>
          <w:p>
            <w:pPr>
              <w:spacing w:after="40" w:line="269" w:lineRule="auto"/>
            </w:pPr>
            <w:r>
              <w:rPr>
                <w:rFonts w:ascii="Calibri" w:hAnsi="Calibri"/>
                <w:color w:val="0B172A"/>
                <w:sz w:val="18"/>
              </w:rPr>
              <w:t>7. Enterprise scale</w:t>
            </w:r>
          </w:p>
        </w:tc>
        <w:tc>
          <w:tcPr>
            <w:tcW w:type="dxa" w:w="1200"/>
            <w:vAlign w:val="center"/>
            <w:tcMar>
              <w:top w:w="100" w:type="dxa"/>
              <w:start w:w="120" w:type="dxa"/>
              <w:bottom w:w="100" w:type="dxa"/>
              <w:end w:w="120" w:type="dxa"/>
            </w:tcMar>
          </w:tcPr>
          <w:p>
            <w:pPr>
              <w:spacing w:after="40" w:line="269" w:lineRule="auto"/>
            </w:pPr>
            <w:r>
              <w:rPr>
                <w:rFonts w:ascii="Calibri" w:hAnsi="Calibri"/>
                <w:color w:val="0B172A"/>
                <w:sz w:val="18"/>
              </w:rPr>
              <w:t>Future</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SSO, PostgreSQL, distributed workers, immutable audit, multi-environment</w:t>
            </w:r>
          </w:p>
        </w:tc>
        <w:tc>
          <w:tcPr>
            <w:tcW w:type="dxa" w:w="2300"/>
            <w:vAlign w:val="center"/>
            <w:tcMar>
              <w:top w:w="100" w:type="dxa"/>
              <w:start w:w="120" w:type="dxa"/>
              <w:bottom w:w="100" w:type="dxa"/>
              <w:end w:w="120" w:type="dxa"/>
            </w:tcMar>
          </w:tcPr>
          <w:p>
            <w:pPr>
              <w:spacing w:after="40" w:line="269" w:lineRule="auto"/>
            </w:pPr>
            <w:r>
              <w:rPr>
                <w:rFonts w:ascii="Calibri" w:hAnsi="Calibri"/>
                <w:color w:val="0B172A"/>
                <w:sz w:val="18"/>
              </w:rPr>
              <w:t>Production SaaS/enterprise deployment</w:t>
            </w:r>
          </w:p>
        </w:tc>
      </w:tr>
    </w:tbl>
    <w:p>
      <w:pPr>
        <w:spacing w:after="40"/>
      </w:pPr>
    </w:p>
    <w:p>
      <w:pPr>
        <w:pStyle w:val="Heading2"/>
      </w:pPr>
      <w:r>
        <w:t>Recommended immediate sequence</w:t>
      </w:r>
    </w:p>
    <w:p>
      <w:pPr>
        <w:spacing w:after="80"/>
        <w:ind w:left="518" w:hanging="346"/>
      </w:pPr>
      <w:r>
        <w:t>1.  Implement Daily Maintenance as the next operational capability because it is a clear administrator requirement and Oracle provides a supported command.</w:t>
      </w:r>
    </w:p>
    <w:p>
      <w:pPr>
        <w:spacing w:after="80"/>
        <w:ind w:left="518" w:hanging="346"/>
      </w:pPr>
      <w:r>
        <w:t>2.  Add metadata/data export and snapshot evidence before high-risk environment promotion.</w:t>
      </w:r>
    </w:p>
    <w:p>
      <w:pPr>
        <w:spacing w:after="80"/>
        <w:ind w:left="518" w:hanging="346"/>
      </w:pPr>
      <w:r>
        <w:t>3.  Standardize the internal capability registry, risk tier, permission, preflight, and execution result for every operation.</w:t>
      </w:r>
    </w:p>
    <w:p>
      <w:pPr>
        <w:spacing w:after="80"/>
        <w:ind w:left="518" w:hanging="346"/>
      </w:pPr>
      <w:r>
        <w:t>4.  Expose a versioned backend API before building Excel or changing the frontend framework.</w:t>
      </w:r>
    </w:p>
    <w:p>
      <w:pPr>
        <w:spacing w:after="80"/>
        <w:ind w:left="518" w:hanging="346"/>
      </w:pPr>
      <w:r>
        <w:t>5.  Introduce an AI agent first in read-only mode; enable writes only after approvals, idempotency, durable workers, and stronger secret management are complete.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8EFFF"/>
          </w:tcPr>
          <w:p>
            <w:pPr>
              <w:spacing w:after="0"/>
            </w:pPr>
            <w:r>
              <w:rPr>
                <w:rFonts w:ascii="Calibri" w:hAnsi="Calibri"/>
                <w:b/>
                <w:color w:val="254DCC"/>
              </w:rPr>
              <w:t xml:space="preserve">Product discipline: </w:t>
            </w:r>
            <w:r>
              <w:rPr>
                <w:rFonts w:ascii="Calibri" w:hAnsi="Calibri"/>
                <w:color w:val="0B172A"/>
              </w:rPr>
              <w:t>Do not automate a screen merely because it exists. Automate repeatable work with a stable supported interface, a measurable reduction in manual effort, and a clear audit requirement.</w:t>
            </w:r>
          </w:p>
        </w:tc>
      </w:tr>
    </w:tbl>
    <w:p>
      <w:pPr>
        <w:spacing w:after="40"/>
      </w:pPr>
    </w:p>
    <w:p>
      <w:pPr>
        <w:pStyle w:val="Heading1"/>
      </w:pPr>
      <w:r>
        <w:t>Appendix A. SQLite database model</w:t>
      </w:r>
    </w:p>
    <w:p>
      <w:r>
        <w:t>The application uses one SQLite file at var/workflow_history.sqlite3. It stores platform orchestration and governance data. It does not store Planning cube data or Oracle passwords. The platform user password_hash column contains one-way salted scrypt hashes and should never be selected into reports or shared.</w:t>
      </w:r>
    </w:p>
    <w:tbl>
      <w:tblPr>
        <w:tblStyle w:val="TableGrid"/>
        <w:tblW w:type="dxa" w:w="9360"/>
        <w:tblLayout w:type="fixed"/>
        <w:tblLook w:firstColumn="1" w:firstRow="1" w:lastColumn="0" w:lastRow="0" w:noHBand="0" w:noVBand="1" w:val="04A0"/>
        <w:jc w:val="left"/>
        <w:tblInd w:w="120" w:type="dxa"/>
      </w:tblPr>
      <w:tblGrid>
        <w:gridCol w:w="2100"/>
        <w:gridCol w:w="3100"/>
        <w:gridCol w:w="4160"/>
      </w:tblGrid>
      <w:tr>
        <w:trPr>
          <w:tblHeader w:val="true"/>
          <w:cantSplit/>
        </w:trPr>
        <w:tc>
          <w:tcPr>
            <w:tcW w:type="dxa" w:w="2100"/>
            <w:vAlign w:val="center"/>
            <w:tcMar>
              <w:top w:w="100" w:type="dxa"/>
              <w:start w:w="120" w:type="dxa"/>
              <w:bottom w:w="100" w:type="dxa"/>
              <w:end w:w="120" w:type="dxa"/>
            </w:tcMar>
            <w:shd w:fill="254DCC"/>
          </w:tcPr>
          <w:p>
            <w:r>
              <w:rPr>
                <w:rFonts w:ascii="Calibri" w:hAnsi="Calibri"/>
                <w:b/>
                <w:color w:val="FFFFFF"/>
                <w:sz w:val="19"/>
              </w:rPr>
              <w:t>Table</w:t>
            </w:r>
          </w:p>
        </w:tc>
        <w:tc>
          <w:tcPr>
            <w:tcW w:type="dxa" w:w="3100"/>
            <w:vAlign w:val="center"/>
            <w:tcMar>
              <w:top w:w="100" w:type="dxa"/>
              <w:start w:w="120" w:type="dxa"/>
              <w:bottom w:w="100" w:type="dxa"/>
              <w:end w:w="120" w:type="dxa"/>
            </w:tcMar>
            <w:shd w:fill="254DCC"/>
          </w:tcPr>
          <w:p>
            <w:r>
              <w:rPr>
                <w:rFonts w:ascii="Calibri" w:hAnsi="Calibri"/>
                <w:b/>
                <w:color w:val="FFFFFF"/>
                <w:sz w:val="19"/>
              </w:rPr>
              <w:t>Purpose</w:t>
            </w:r>
          </w:p>
        </w:tc>
        <w:tc>
          <w:tcPr>
            <w:tcW w:type="dxa" w:w="4160"/>
            <w:vAlign w:val="center"/>
            <w:tcMar>
              <w:top w:w="100" w:type="dxa"/>
              <w:start w:w="120" w:type="dxa"/>
              <w:bottom w:w="100" w:type="dxa"/>
              <w:end w:w="120" w:type="dxa"/>
            </w:tcMar>
            <w:shd w:fill="254DCC"/>
          </w:tcPr>
          <w:p>
            <w:r>
              <w:rPr>
                <w:rFonts w:ascii="Calibri" w:hAnsi="Calibri"/>
                <w:b/>
                <w:color w:val="FFFFFF"/>
                <w:sz w:val="19"/>
              </w:rPr>
              <w:t>Important columns / relationship</w:t>
            </w:r>
          </w:p>
        </w:tc>
      </w:tr>
      <w:tr>
        <w:trPr>
          <w:cantSplit/>
        </w:trPr>
        <w:tc>
          <w:tcPr>
            <w:tcW w:type="dxa" w:w="2100"/>
            <w:shd w:fill="F3F6FA"/>
            <w:vAlign w:val="center"/>
            <w:tcMar>
              <w:top w:w="100" w:type="dxa"/>
              <w:start w:w="120" w:type="dxa"/>
              <w:bottom w:w="100" w:type="dxa"/>
              <w:end w:w="120" w:type="dxa"/>
            </w:tcMar>
          </w:tcPr>
          <w:p>
            <w:pPr>
              <w:spacing w:after="40" w:line="269" w:lineRule="auto"/>
            </w:pPr>
            <w:r>
              <w:rPr>
                <w:rFonts w:ascii="Calibri" w:hAnsi="Calibri"/>
                <w:color w:val="0B172A"/>
                <w:sz w:val="18"/>
              </w:rPr>
              <w:t>workflow_runs</w:t>
            </w:r>
          </w:p>
        </w:tc>
        <w:tc>
          <w:tcPr>
            <w:tcW w:type="dxa" w:w="3100"/>
            <w:shd w:fill="F3F6FA"/>
            <w:vAlign w:val="center"/>
            <w:tcMar>
              <w:top w:w="100" w:type="dxa"/>
              <w:start w:w="120" w:type="dxa"/>
              <w:bottom w:w="100" w:type="dxa"/>
              <w:end w:w="120" w:type="dxa"/>
            </w:tcMar>
          </w:tcPr>
          <w:p>
            <w:pPr>
              <w:spacing w:after="40" w:line="269" w:lineRule="auto"/>
            </w:pPr>
            <w:r>
              <w:rPr>
                <w:rFonts w:ascii="Calibri" w:hAnsi="Calibri"/>
                <w:color w:val="0B172A"/>
                <w:sz w:val="18"/>
              </w:rPr>
              <w:t>One durable execution header</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execution_id PK; status, timestamps, error, initiated_by, trigger_source</w:t>
            </w:r>
          </w:p>
        </w:tc>
      </w:tr>
      <w:tr>
        <w:trPr>
          <w:cantSplit/>
        </w:trPr>
        <w:tc>
          <w:tcPr>
            <w:tcW w:type="dxa" w:w="2100"/>
            <w:vAlign w:val="center"/>
            <w:tcMar>
              <w:top w:w="100" w:type="dxa"/>
              <w:start w:w="120" w:type="dxa"/>
              <w:bottom w:w="100" w:type="dxa"/>
              <w:end w:w="120" w:type="dxa"/>
            </w:tcMar>
          </w:tcPr>
          <w:p>
            <w:pPr>
              <w:spacing w:after="40" w:line="269" w:lineRule="auto"/>
            </w:pPr>
            <w:r>
              <w:rPr>
                <w:rFonts w:ascii="Calibri" w:hAnsi="Calibri"/>
                <w:color w:val="0B172A"/>
                <w:sz w:val="18"/>
              </w:rPr>
              <w:t>workflow_steps</w:t>
            </w:r>
          </w:p>
        </w:tc>
        <w:tc>
          <w:tcPr>
            <w:tcW w:type="dxa" w:w="3100"/>
            <w:vAlign w:val="center"/>
            <w:tcMar>
              <w:top w:w="100" w:type="dxa"/>
              <w:start w:w="120" w:type="dxa"/>
              <w:bottom w:w="100" w:type="dxa"/>
              <w:end w:w="120" w:type="dxa"/>
            </w:tcMar>
          </w:tcPr>
          <w:p>
            <w:pPr>
              <w:spacing w:after="40" w:line="269" w:lineRule="auto"/>
            </w:pPr>
            <w:r>
              <w:rPr>
                <w:rFonts w:ascii="Calibri" w:hAnsi="Calibri"/>
                <w:color w:val="0B172A"/>
                <w:sz w:val="18"/>
              </w:rPr>
              <w:t>Ordered steps for each execution</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(execution_id, sequence) PK; FK to workflow_runs; details_json</w:t>
            </w:r>
          </w:p>
        </w:tc>
      </w:tr>
      <w:tr>
        <w:trPr>
          <w:cantSplit/>
        </w:trPr>
        <w:tc>
          <w:tcPr>
            <w:tcW w:type="dxa" w:w="2100"/>
            <w:shd w:fill="F3F6FA"/>
            <w:vAlign w:val="center"/>
            <w:tcMar>
              <w:top w:w="100" w:type="dxa"/>
              <w:start w:w="120" w:type="dxa"/>
              <w:bottom w:w="100" w:type="dxa"/>
              <w:end w:w="120" w:type="dxa"/>
            </w:tcMar>
          </w:tcPr>
          <w:p>
            <w:pPr>
              <w:spacing w:after="40" w:line="269" w:lineRule="auto"/>
            </w:pPr>
            <w:r>
              <w:rPr>
                <w:rFonts w:ascii="Calibri" w:hAnsi="Calibri"/>
                <w:color w:val="0B172A"/>
                <w:sz w:val="18"/>
              </w:rPr>
              <w:t>process_schedules</w:t>
            </w:r>
          </w:p>
        </w:tc>
        <w:tc>
          <w:tcPr>
            <w:tcW w:type="dxa" w:w="3100"/>
            <w:shd w:fill="F3F6FA"/>
            <w:vAlign w:val="center"/>
            <w:tcMar>
              <w:top w:w="100" w:type="dxa"/>
              <w:start w:w="120" w:type="dxa"/>
              <w:bottom w:w="100" w:type="dxa"/>
              <w:end w:w="120" w:type="dxa"/>
            </w:tcMar>
          </w:tcPr>
          <w:p>
            <w:pPr>
              <w:spacing w:after="40" w:line="269" w:lineRule="auto"/>
            </w:pPr>
            <w:r>
              <w:rPr>
                <w:rFonts w:ascii="Calibri" w:hAnsi="Calibri"/>
                <w:color w:val="0B172A"/>
                <w:sz w:val="18"/>
              </w:rPr>
              <w:t>Durable Process recurrences</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process_code, frequency, timezone, context/preset, next run, last result</w:t>
            </w:r>
          </w:p>
        </w:tc>
      </w:tr>
      <w:tr>
        <w:trPr>
          <w:cantSplit/>
        </w:trPr>
        <w:tc>
          <w:tcPr>
            <w:tcW w:type="dxa" w:w="2100"/>
            <w:vAlign w:val="center"/>
            <w:tcMar>
              <w:top w:w="100" w:type="dxa"/>
              <w:start w:w="120" w:type="dxa"/>
              <w:bottom w:w="100" w:type="dxa"/>
              <w:end w:w="120" w:type="dxa"/>
            </w:tcMar>
          </w:tcPr>
          <w:p>
            <w:pPr>
              <w:spacing w:after="40" w:line="269" w:lineRule="auto"/>
            </w:pPr>
            <w:r>
              <w:rPr>
                <w:rFonts w:ascii="Calibri" w:hAnsi="Calibri"/>
                <w:color w:val="0B172A"/>
                <w:sz w:val="18"/>
              </w:rPr>
              <w:t>pipeline_process_versions</w:t>
            </w:r>
          </w:p>
        </w:tc>
        <w:tc>
          <w:tcPr>
            <w:tcW w:type="dxa" w:w="3100"/>
            <w:vAlign w:val="center"/>
            <w:tcMar>
              <w:top w:w="100" w:type="dxa"/>
              <w:start w:w="120" w:type="dxa"/>
              <w:bottom w:w="100" w:type="dxa"/>
              <w:end w:w="120" w:type="dxa"/>
            </w:tcMar>
          </w:tcPr>
          <w:p>
            <w:pPr>
              <w:spacing w:after="40" w:line="269" w:lineRule="auto"/>
            </w:pPr>
            <w:r>
              <w:rPr>
                <w:rFonts w:ascii="Calibri" w:hAnsi="Calibri"/>
                <w:color w:val="0B172A"/>
                <w:sz w:val="18"/>
              </w:rPr>
              <w:t>Versioned Process definitions</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(process_code, version) PK; status; process_json; cycle_json</w:t>
            </w:r>
          </w:p>
        </w:tc>
      </w:tr>
      <w:tr>
        <w:trPr>
          <w:cantSplit/>
        </w:trPr>
        <w:tc>
          <w:tcPr>
            <w:tcW w:type="dxa" w:w="2100"/>
            <w:shd w:fill="F3F6FA"/>
            <w:vAlign w:val="center"/>
            <w:tcMar>
              <w:top w:w="100" w:type="dxa"/>
              <w:start w:w="120" w:type="dxa"/>
              <w:bottom w:w="100" w:type="dxa"/>
              <w:end w:w="120" w:type="dxa"/>
            </w:tcMar>
          </w:tcPr>
          <w:p>
            <w:pPr>
              <w:spacing w:after="40" w:line="269" w:lineRule="auto"/>
            </w:pPr>
            <w:r>
              <w:rPr>
                <w:rFonts w:ascii="Calibri" w:hAnsi="Calibri"/>
                <w:color w:val="0B172A"/>
                <w:sz w:val="18"/>
              </w:rPr>
              <w:t>pipeline_run_profiles</w:t>
            </w:r>
          </w:p>
        </w:tc>
        <w:tc>
          <w:tcPr>
            <w:tcW w:type="dxa" w:w="3100"/>
            <w:shd w:fill="F3F6FA"/>
            <w:vAlign w:val="center"/>
            <w:tcMar>
              <w:top w:w="100" w:type="dxa"/>
              <w:start w:w="120" w:type="dxa"/>
              <w:bottom w:w="100" w:type="dxa"/>
              <w:end w:w="120" w:type="dxa"/>
            </w:tcMar>
          </w:tcPr>
          <w:p>
            <w:pPr>
              <w:spacing w:after="40" w:line="269" w:lineRule="auto"/>
            </w:pPr>
            <w:r>
              <w:rPr>
                <w:rFonts w:ascii="Calibri" w:hAnsi="Calibri"/>
                <w:color w:val="0B172A"/>
                <w:sz w:val="18"/>
              </w:rPr>
              <w:t>Reusable Process run presets</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profile_id PK; process_code; year/period; variables/files JSON; archived_at</w:t>
            </w:r>
          </w:p>
        </w:tc>
      </w:tr>
      <w:tr>
        <w:trPr>
          <w:cantSplit/>
        </w:trPr>
        <w:tc>
          <w:tcPr>
            <w:tcW w:type="dxa" w:w="2100"/>
            <w:vAlign w:val="center"/>
            <w:tcMar>
              <w:top w:w="100" w:type="dxa"/>
              <w:start w:w="120" w:type="dxa"/>
              <w:bottom w:w="100" w:type="dxa"/>
              <w:end w:w="120" w:type="dxa"/>
            </w:tcMar>
          </w:tcPr>
          <w:p>
            <w:pPr>
              <w:spacing w:after="40" w:line="269" w:lineRule="auto"/>
            </w:pPr>
            <w:r>
              <w:rPr>
                <w:rFonts w:ascii="Calibri" w:hAnsi="Calibri"/>
                <w:color w:val="0B172A"/>
                <w:sz w:val="18"/>
              </w:rPr>
              <w:t>registered_pipelines</w:t>
            </w:r>
          </w:p>
        </w:tc>
        <w:tc>
          <w:tcPr>
            <w:tcW w:type="dxa" w:w="3100"/>
            <w:vAlign w:val="center"/>
            <w:tcMar>
              <w:top w:w="100" w:type="dxa"/>
              <w:start w:w="120" w:type="dxa"/>
              <w:bottom w:w="100" w:type="dxa"/>
              <w:end w:w="120" w:type="dxa"/>
            </w:tcMar>
          </w:tcPr>
          <w:p>
            <w:pPr>
              <w:spacing w:after="40" w:line="269" w:lineRule="auto"/>
            </w:pPr>
            <w:r>
              <w:rPr>
                <w:rFonts w:ascii="Calibri" w:hAnsi="Calibri"/>
                <w:color w:val="0B172A"/>
                <w:sz w:val="18"/>
              </w:rPr>
              <w:t>Local verified Pipeline registry</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code PK; display name, description, timestamps</w:t>
            </w:r>
          </w:p>
        </w:tc>
      </w:tr>
      <w:tr>
        <w:trPr>
          <w:cantSplit/>
        </w:trPr>
        <w:tc>
          <w:tcPr>
            <w:tcW w:type="dxa" w:w="210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platform_users</w:t>
            </w:r>
          </w:p>
        </w:tc>
        <w:tc>
          <w:tcPr>
            <w:tcW w:type="dxa" w:w="3100"/>
            <w:shd w:fill="F3F6FA"/>
            <w:vAlign w:val="center"/>
            <w:tcMar>
              <w:top w:w="100" w:type="dxa"/>
              <w:start w:w="120" w:type="dxa"/>
              <w:bottom w:w="100" w:type="dxa"/>
              <w:end w:w="120" w:type="dxa"/>
            </w:tcMar>
          </w:tcPr>
          <w:p>
            <w:pPr>
              <w:spacing w:after="40" w:line="269" w:lineRule="auto"/>
            </w:pPr>
            <w:r>
              <w:rPr>
                <w:rFonts w:ascii="Calibri" w:hAnsi="Calibri"/>
                <w:color w:val="0B172A"/>
                <w:sz w:val="18"/>
              </w:rPr>
              <w:t>BISP platform identities</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user_id PK; username; display/email; active; hash; lockout timestamps</w:t>
            </w:r>
          </w:p>
        </w:tc>
      </w:tr>
      <w:tr>
        <w:trPr>
          <w:cantSplit/>
        </w:trPr>
        <w:tc>
          <w:tcPr>
            <w:tcW w:type="dxa" w:w="2100"/>
            <w:vAlign w:val="center"/>
            <w:tcMar>
              <w:top w:w="100" w:type="dxa"/>
              <w:start w:w="120" w:type="dxa"/>
              <w:bottom w:w="100" w:type="dxa"/>
              <w:end w:w="120" w:type="dxa"/>
            </w:tcMar>
          </w:tcPr>
          <w:p>
            <w:pPr>
              <w:spacing w:after="40" w:line="269" w:lineRule="auto"/>
            </w:pPr>
            <w:r>
              <w:rPr>
                <w:rFonts w:ascii="Calibri" w:hAnsi="Calibri"/>
                <w:color w:val="0B172A"/>
                <w:sz w:val="18"/>
              </w:rPr>
              <w:t>platform_roles</w:t>
            </w:r>
          </w:p>
        </w:tc>
        <w:tc>
          <w:tcPr>
            <w:tcW w:type="dxa" w:w="3100"/>
            <w:vAlign w:val="center"/>
            <w:tcMar>
              <w:top w:w="100" w:type="dxa"/>
              <w:start w:w="120" w:type="dxa"/>
              <w:bottom w:w="100" w:type="dxa"/>
              <w:end w:w="120" w:type="dxa"/>
            </w:tcMar>
          </w:tcPr>
          <w:p>
            <w:pPr>
              <w:spacing w:after="40" w:line="269" w:lineRule="auto"/>
            </w:pPr>
            <w:r>
              <w:rPr>
                <w:rFonts w:ascii="Calibri" w:hAnsi="Calibri"/>
                <w:color w:val="0B172A"/>
                <w:sz w:val="18"/>
              </w:rPr>
              <w:t>Built-in role definitions</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role_id PK; stable role code, name, description</w:t>
            </w:r>
          </w:p>
        </w:tc>
      </w:tr>
      <w:tr>
        <w:trPr>
          <w:cantSplit/>
        </w:trPr>
        <w:tc>
          <w:tcPr>
            <w:tcW w:type="dxa" w:w="210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platform_role_permissions</w:t>
            </w:r>
          </w:p>
        </w:tc>
        <w:tc>
          <w:tcPr>
            <w:tcW w:type="dxa" w:w="3100"/>
            <w:shd w:fill="F3F6FA"/>
            <w:vAlign w:val="center"/>
            <w:tcMar>
              <w:top w:w="100" w:type="dxa"/>
              <w:start w:w="120" w:type="dxa"/>
              <w:bottom w:w="100" w:type="dxa"/>
              <w:end w:w="120" w:type="dxa"/>
            </w:tcMar>
          </w:tcPr>
          <w:p>
            <w:pPr>
              <w:spacing w:after="40" w:line="269" w:lineRule="auto"/>
            </w:pPr>
            <w:r>
              <w:rPr>
                <w:rFonts w:ascii="Calibri" w:hAnsi="Calibri"/>
                <w:color w:val="0B172A"/>
                <w:sz w:val="18"/>
              </w:rPr>
              <w:t>Role-to-capability grants</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(role_id, permission_code) PK; FK to roles</w:t>
            </w:r>
          </w:p>
        </w:tc>
      </w:tr>
      <w:tr>
        <w:trPr>
          <w:cantSplit/>
        </w:trPr>
        <w:tc>
          <w:tcPr>
            <w:tcW w:type="dxa" w:w="2100"/>
            <w:vAlign w:val="center"/>
            <w:tcMar>
              <w:top w:w="100" w:type="dxa"/>
              <w:start w:w="120" w:type="dxa"/>
              <w:bottom w:w="100" w:type="dxa"/>
              <w:end w:w="120" w:type="dxa"/>
            </w:tcMar>
          </w:tcPr>
          <w:p>
            <w:pPr>
              <w:spacing w:after="40" w:line="269" w:lineRule="auto"/>
            </w:pPr>
            <w:r>
              <w:rPr>
                <w:rFonts w:ascii="Calibri" w:hAnsi="Calibri"/>
                <w:color w:val="0B172A"/>
                <w:sz w:val="18"/>
              </w:rPr>
              <w:t>platform_user_roles</w:t>
            </w:r>
          </w:p>
        </w:tc>
        <w:tc>
          <w:tcPr>
            <w:tcW w:type="dxa" w:w="3100"/>
            <w:vAlign w:val="center"/>
            <w:tcMar>
              <w:top w:w="100" w:type="dxa"/>
              <w:start w:w="120" w:type="dxa"/>
              <w:bottom w:w="100" w:type="dxa"/>
              <w:end w:w="120" w:type="dxa"/>
            </w:tcMar>
          </w:tcPr>
          <w:p>
            <w:pPr>
              <w:spacing w:after="40" w:line="269" w:lineRule="auto"/>
            </w:pPr>
            <w:r>
              <w:rPr>
                <w:rFonts w:ascii="Calibri" w:hAnsi="Calibri"/>
                <w:color w:val="0B172A"/>
                <w:sz w:val="18"/>
              </w:rPr>
              <w:t>User-to-role assignments</w:t>
            </w:r>
          </w:p>
        </w:tc>
        <w:tc>
          <w:tcPr>
            <w:tcW w:type="dxa" w:w="4160"/>
            <w:vAlign w:val="center"/>
            <w:tcMar>
              <w:top w:w="100" w:type="dxa"/>
              <w:start w:w="120" w:type="dxa"/>
              <w:bottom w:w="100" w:type="dxa"/>
              <w:end w:w="120" w:type="dxa"/>
            </w:tcMar>
          </w:tcPr>
          <w:p>
            <w:pPr>
              <w:spacing w:after="40" w:line="269" w:lineRule="auto"/>
            </w:pPr>
            <w:r>
              <w:rPr>
                <w:rFonts w:ascii="Calibri" w:hAnsi="Calibri"/>
                <w:color w:val="0B172A"/>
                <w:sz w:val="18"/>
              </w:rPr>
              <w:t>(user_id, role_id) PK; FKs to users and roles</w:t>
            </w:r>
          </w:p>
        </w:tc>
      </w:tr>
      <w:tr>
        <w:trPr>
          <w:cantSplit/>
        </w:trPr>
        <w:tc>
          <w:tcPr>
            <w:tcW w:type="dxa" w:w="2100"/>
            <w:shd w:fill="F3F6FA"/>
            <w:vAlign w:val="center"/>
            <w:tcMar>
              <w:top w:w="100" w:type="dxa"/>
              <w:start w:w="120" w:type="dxa"/>
              <w:bottom w:w="100" w:type="dxa"/>
              <w:end w:w="120" w:type="dxa"/>
            </w:tcMar>
          </w:tcPr>
          <w:p>
            <w:pPr>
              <w:spacing w:after="40" w:line="269" w:lineRule="auto"/>
            </w:pPr>
            <w:r>
              <w:rPr>
                <w:rFonts w:ascii="Calibri" w:hAnsi="Calibri"/>
                <w:color w:val="0B172A"/>
                <w:sz w:val="18"/>
              </w:rPr>
              <w:t>platform_auth_events</w:t>
            </w:r>
          </w:p>
        </w:tc>
        <w:tc>
          <w:tcPr>
            <w:tcW w:type="dxa" w:w="3100"/>
            <w:shd w:fill="F3F6FA"/>
            <w:vAlign w:val="center"/>
            <w:tcMar>
              <w:top w:w="100" w:type="dxa"/>
              <w:start w:w="120" w:type="dxa"/>
              <w:bottom w:w="100" w:type="dxa"/>
              <w:end w:w="120" w:type="dxa"/>
            </w:tcMar>
          </w:tcPr>
          <w:p>
            <w:pPr>
              <w:spacing w:after="40" w:line="269" w:lineRule="auto"/>
            </w:pPr>
            <w:r>
              <w:rPr>
                <w:rFonts w:ascii="Calibri" w:hAnsi="Calibri"/>
                <w:color w:val="0B172A"/>
                <w:sz w:val="18"/>
              </w:rPr>
              <w:t>Authentication/security audit</w:t>
            </w:r>
          </w:p>
        </w:tc>
        <w:tc>
          <w:tcPr>
            <w:tcW w:type="dxa" w:w="4160"/>
            <w:shd w:fill="F3F6FA"/>
            <w:vAlign w:val="center"/>
            <w:tcMar>
              <w:top w:w="100" w:type="dxa"/>
              <w:start w:w="120" w:type="dxa"/>
              <w:bottom w:w="100" w:type="dxa"/>
              <w:end w:w="120" w:type="dxa"/>
            </w:tcMar>
          </w:tcPr>
          <w:p>
            <w:pPr>
              <w:spacing w:after="40" w:line="269" w:lineRule="auto"/>
            </w:pPr>
            <w:r>
              <w:rPr>
                <w:rFonts w:ascii="Calibri" w:hAnsi="Calibri"/>
                <w:color w:val="0B172A"/>
                <w:sz w:val="18"/>
              </w:rPr>
              <w:t>event type, username, actor, success, IP, timestamp, details JSON</w:t>
            </w:r>
          </w:p>
        </w:tc>
      </w:tr>
    </w:tbl>
    <w:p>
      <w:pPr>
        <w:spacing w:after="40"/>
      </w:pPr>
    </w:p>
    <w:p>
      <w:pPr>
        <w:pStyle w:val="Heading2"/>
      </w:pPr>
      <w:r>
        <w:t>A.1 Logical relationships</w:t>
      </w:r>
    </w:p>
    <w:p>
      <w:pPr>
        <w:pStyle w:val="ListBullet"/>
      </w:pPr>
      <w:r>
        <w:t>workflow_runs has a one-to-many relationship with workflow_steps.</w:t>
      </w:r>
    </w:p>
    <w:p>
      <w:pPr>
        <w:pStyle w:val="ListBullet"/>
      </w:pPr>
      <w:r>
        <w:t>platform_users and platform_roles have a many-to-many relationship through platform_user_roles.</w:t>
      </w:r>
    </w:p>
    <w:p>
      <w:pPr>
        <w:pStyle w:val="ListBullet"/>
      </w:pPr>
      <w:r>
        <w:t>platform_roles and permissions have a one-to-many assignment table in platform_role_permissions.</w:t>
      </w:r>
    </w:p>
    <w:p>
      <w:pPr>
        <w:pStyle w:val="ListBullet"/>
      </w:pPr>
      <w:r>
        <w:t>Process schedules and run profiles reference a Process by process_code. These are logical references because Process definitions are versioned independently.</w:t>
      </w:r>
    </w:p>
    <w:p>
      <w:pPr>
        <w:pStyle w:val="ListBullet"/>
      </w:pPr>
      <w:r>
        <w:t>JSON columns preserve flexible Oracle variables, file strategies, step parameters, and response details without creating a table for every Oracle payload shape.</w:t>
      </w:r>
    </w:p>
    <w:p>
      <w:pPr>
        <w:pStyle w:val="Heading2"/>
      </w:pPr>
      <w:r>
        <w:t>A.2 Safe inspection rules</w:t>
      </w:r>
    </w:p>
    <w:p>
      <w:pPr>
        <w:pStyle w:val="ListBullet"/>
      </w:pPr>
      <w:r>
        <w:t>Use read-only queries for inspection. Let application services perform updates.</w:t>
      </w:r>
    </w:p>
    <w:p>
      <w:pPr>
        <w:pStyle w:val="ListBullet"/>
      </w:pPr>
      <w:r>
        <w:t>Do not change status values, schedules, roles, hashes, or JSON manually; this can violate application invariants.</w:t>
      </w:r>
    </w:p>
    <w:p>
      <w:pPr>
        <w:pStyle w:val="ListBullet"/>
      </w:pPr>
      <w:r>
        <w:t>Back up the file before schema work and stop the application before copying a consistent backup.</w:t>
      </w:r>
    </w:p>
    <w:p>
      <w:pPr>
        <w:pStyle w:val="ListBullet"/>
      </w:pPr>
      <w:r>
        <w:t>Do not expose password_hash, failed-login data, IP addresses, or raw error/log content to unauthorized users.</w:t>
      </w:r>
    </w:p>
    <w:p>
      <w:pPr>
        <w:pStyle w:val="ListBullet"/>
      </w:pPr>
      <w:r>
        <w:t>SQLite is appropriate for local development and a single application node. Use PostgreSQL or another server database before distributed workers or high concurrent usage.</w:t>
      </w:r>
    </w:p>
    <w:p>
      <w:pPr>
        <w:pStyle w:val="Heading1"/>
      </w:pPr>
      <w:r>
        <w:t>Appendix B. Oracle capability sources</w:t>
      </w:r>
    </w:p>
    <w:p>
      <w:r>
        <w:t>Capability statements were checked against Oracle documentation available on 3 August 2026. Oracle Cloud EPM is updated frequently; verify the current service documentation and assigned roles before implementing a new operation.</w:t>
      </w:r>
    </w:p>
    <w:p>
      <w:pPr>
        <w:pStyle w:val="ListBullet"/>
      </w:pPr>
      <w:hyperlink r:id="rId12">
        <w:r>
          <w:rPr>
            <w:color w:val="254DCC"/>
            <w:u w:val="single"/>
          </w:rPr>
          <w:t>Planning REST APIs</w:t>
        </w:r>
      </w:hyperlink>
    </w:p>
    <w:p>
      <w:pPr>
        <w:pStyle w:val="ListBullet"/>
      </w:pPr>
      <w:hyperlink r:id="rId13">
        <w:r>
          <w:rPr>
            <w:color w:val="254DCC"/>
            <w:u w:val="single"/>
          </w:rPr>
          <w:t>Cloud EPM REST API table of contents and supported resources</w:t>
        </w:r>
      </w:hyperlink>
    </w:p>
    <w:p>
      <w:pPr>
        <w:pStyle w:val="ListBullet"/>
      </w:pPr>
      <w:hyperlink r:id="rId14">
        <w:r>
          <w:rPr>
            <w:color w:val="254DCC"/>
            <w:u w:val="single"/>
          </w:rPr>
          <w:t>REST API fundamentals and role enforcement</w:t>
        </w:r>
      </w:hyperlink>
    </w:p>
    <w:p>
      <w:pPr>
        <w:pStyle w:val="ListBullet"/>
      </w:pPr>
      <w:hyperlink r:id="rId15">
        <w:r>
          <w:rPr>
            <w:color w:val="254DCC"/>
            <w:u w:val="single"/>
          </w:rPr>
          <w:t>Export Planning form data</w:t>
        </w:r>
      </w:hyperlink>
    </w:p>
    <w:p>
      <w:pPr>
        <w:pStyle w:val="ListBullet"/>
      </w:pPr>
      <w:hyperlink r:id="rId16">
        <w:r>
          <w:rPr>
            <w:color w:val="254DCC"/>
            <w:u w:val="single"/>
          </w:rPr>
          <w:t>About EPM Automate</w:t>
        </w:r>
      </w:hyperlink>
    </w:p>
    <w:p>
      <w:pPr>
        <w:pStyle w:val="ListBullet"/>
      </w:pPr>
      <w:hyperlink r:id="rId17">
        <w:r>
          <w:rPr>
            <w:color w:val="254DCC"/>
            <w:u w:val="single"/>
          </w:rPr>
          <w:t>EPM Automate commands at a glance</w:t>
        </w:r>
      </w:hyperlink>
    </w:p>
    <w:p>
      <w:pPr>
        <w:pStyle w:val="ListBullet"/>
      </w:pPr>
      <w:hyperlink r:id="rId18">
        <w:r>
          <w:rPr>
            <w:color w:val="254DCC"/>
            <w:u w:val="single"/>
          </w:rPr>
          <w:t>EPM Automate prerequisites and saved-job requirements</w:t>
        </w:r>
      </w:hyperlink>
    </w:p>
    <w:p>
      <w:pPr>
        <w:pStyle w:val="ListBullet"/>
      </w:pPr>
      <w:hyperlink r:id="rId19">
        <w:r>
          <w:rPr>
            <w:color w:val="254DCC"/>
            <w:u w:val="single"/>
          </w:rPr>
          <w:t>Run Data Integration</w:t>
        </w:r>
      </w:hyperlink>
    </w:p>
    <w:p>
      <w:pPr>
        <w:pStyle w:val="ListBullet"/>
      </w:pPr>
      <w:hyperlink r:id="rId20">
        <w:r>
          <w:rPr>
            <w:color w:val="254DCC"/>
            <w:u w:val="single"/>
          </w:rPr>
          <w:t>Run Daily Maintenance</w:t>
        </w:r>
      </w:hyperlink>
    </w:p>
    <w:p>
      <w:pPr>
        <w:pStyle w:val="ListBullet"/>
      </w:pPr>
      <w:hyperlink r:id="rId21">
        <w:r>
          <w:rPr>
            <w:color w:val="254DCC"/>
            <w:u w:val="single"/>
          </w:rPr>
          <w:t>Using Data Integration Pipelines</w:t>
        </w:r>
      </w:hyperlink>
    </w:p>
    <w:p>
      <w:pPr>
        <w:pStyle w:val="ListBullet"/>
      </w:pPr>
      <w:hyperlink r:id="rId22">
        <w:r>
          <w:rPr>
            <w:color w:val="254DCC"/>
            <w:u w:val="single"/>
          </w:rPr>
          <w:t>OAuth 2 and Basic Authentication for Cloud EPM REST APIs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78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B778C"/>
        <w:sz w:val="17"/>
      </w:rPr>
      <w:t>BISP SOLUTIONS  |  ORACLE EPM AUTOMATION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4DC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4DC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17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4050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oracle.com/en/cloud/saas/enterprise-performance-management-common/prest/planning_rest_apis.html" TargetMode="External"/><Relationship Id="rId13" Type="http://schemas.openxmlformats.org/officeDocument/2006/relationships/hyperlink" Target="https://docs.oracle.com/en/cloud/saas/enterprise-performance-management-common/prest/toc.htm" TargetMode="External"/><Relationship Id="rId14" Type="http://schemas.openxmlformats.org/officeDocument/2006/relationships/hyperlink" Target="https://docs.oracle.com/en/cloud/saas/enterprise-performance-management-common/prest/rest_resources_and_methods.html" TargetMode="External"/><Relationship Id="rId15" Type="http://schemas.openxmlformats.org/officeDocument/2006/relationships/hyperlink" Target="https://docs.oracle.com/en/cloud/saas/enterprise-performance-management-common/prest/get_export_form_data.html" TargetMode="External"/><Relationship Id="rId16" Type="http://schemas.openxmlformats.org/officeDocument/2006/relationships/hyperlink" Target="https://docs.oracle.com/en/cloud/saas/enterprise-performance-management-common/cepma/using_epmctl.html" TargetMode="External"/><Relationship Id="rId17" Type="http://schemas.openxmlformats.org/officeDocument/2006/relationships/hyperlink" Target="https://docs.oracle.com/en/cloud/saas/enterprise-performance-management-common/cepma/epm_automate_commands_at_glance.html" TargetMode="External"/><Relationship Id="rId18" Type="http://schemas.openxmlformats.org/officeDocument/2006/relationships/hyperlink" Target="https://docs.oracle.com/en/cloud/saas/enterprise-performance-management-common/cepma/epm_automate_command_about_prereqs.html" TargetMode="External"/><Relationship Id="rId19" Type="http://schemas.openxmlformats.org/officeDocument/2006/relationships/hyperlink" Target="https://docs.oracle.com/en/cloud/saas/enterprise-performance-management-common/cepma/epm_auto_run_integration.html" TargetMode="External"/><Relationship Id="rId20" Type="http://schemas.openxmlformats.org/officeDocument/2006/relationships/hyperlink" Target="https://docs.oracle.com/en/cloud/saas/enterprise-performance-management-common/cepma/epm_auto_run_daily_maintenance.html" TargetMode="External"/><Relationship Id="rId21" Type="http://schemas.openxmlformats.org/officeDocument/2006/relationships/hyperlink" Target="https://docs.oracle.com/en/cloud/saas/epm-cloud/diepm/integrations_pipeline.html" TargetMode="External"/><Relationship Id="rId22" Type="http://schemas.openxmlformats.org/officeDocument/2006/relationships/hyperlink" Target="https://docs.oracle.com/en/cloud/saas/enterprise-performance-management-common/prest/GUID-185E11F9-8420-414A-B2EA-9098767FC24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EPM Automation Capability and AI Agent Strategy</dc:title>
  <dc:subject>Capability boundaries, AI-agent governance, and maximum-automation roadmap</dc:subject>
  <dc:creator>BISP Solutions</dc:creator>
  <cp:keywords>Oracle EPM, Planning, automation, AI agent, governance</cp:keywords>
  <dc:description>generated by python-docx</dc:description>
  <cp:lastModifiedBy/>
  <cp:revision>1</cp:revision>
  <dcterms:created xsi:type="dcterms:W3CDTF">2013-12-23T23:15:00Z</dcterms:created>
  <dcterms:modified xsi:type="dcterms:W3CDTF">2013-12-23T23:15:00Z</dcterms:modified>
  <cp:category/>
</cp:coreProperties>
</file>