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0"/>
          <w:szCs w:val="40"/>
        </w:rPr>
        <w:t xml:space="preserve">Financial Management Policy — Working Draft</w:t>
      </w:r>
    </w:p>
    <w:p>
      <w:pPr>
        <w:spacing w:after="360"/>
        <w:jc w:val="center"/>
      </w:pPr>
      <w:r>
        <w:rPr>
          <w:rFonts w:ascii="Arial" w:cs="Arial" w:eastAsia="Arial" w:hAnsi="Arial"/>
          <w:i/>
          <w:iCs/>
          <w:color w:val="555555"/>
          <w:sz w:val="22"/>
          <w:szCs w:val="22"/>
        </w:rPr>
        <w:t xml:space="preserve">Sourced from DoD 7000.14-R Financial Management Regulation: Volume 10 Chapter 7 (Prompt Payment Act), Volume 14 Chapter 3 (Antideficiency Act Violation Process), and Volume 4 Chapter 25 (General Equipment).</w:t>
      </w:r>
    </w:p>
    <w:p>
      <w:pPr>
        <w:pStyle w:val="Heading1"/>
      </w:pPr>
      <w:r>
        <w:t xml:space="preserve">Part 1 — Prompt Payment Act</w:t>
      </w:r>
    </w:p>
    <w:p>
      <w:pPr>
        <w:pStyle w:val="Heading2"/>
      </w:pPr>
      <w:r>
        <w:t xml:space="preserve">1.1 Interest Calculation Basis</w:t>
      </w:r>
    </w:p>
    <w:p>
      <w:pPr>
        <w:spacing w:after="120" w:line="300"/>
      </w:pPr>
      <w:r>
        <w:rPr>
          <w:rFonts w:ascii="Arial" w:cs="Arial" w:eastAsia="Arial" w:hAnsi="Arial"/>
          <w:sz w:val="22"/>
          <w:szCs w:val="22"/>
        </w:rPr>
        <w:t xml:space="preserve">Where late payment interest penalties accrue under the Prompt Payment Act, the entitlement office shall compute interest in accordance with the rate published by the Bureau of the Fiscal Service for the applicable interest rate period. Interest calculations shall be based on a 365-day year. The specific interest rate in effect at the time of the original payment due date shall be applied to the total penalty period.</w:t>
      </w:r>
    </w:p>
    <w:p>
      <w:pPr>
        <w:pStyle w:val="Heading2"/>
      </w:pPr>
      <w:r>
        <w:t xml:space="preserve">1.2 Improper Invoice Notification Windows</w:t>
      </w:r>
    </w:p>
    <w:p>
      <w:pPr>
        <w:spacing w:after="120" w:line="300"/>
      </w:pPr>
      <w:r>
        <w:rPr>
          <w:rFonts w:ascii="Arial" w:cs="Arial" w:eastAsia="Arial" w:hAnsi="Arial"/>
          <w:sz w:val="22"/>
          <w:szCs w:val="22"/>
        </w:rPr>
        <w:t xml:space="preserve">When a designated activity returns an invoice as improper, notification to the contractor shall be provided within seven days after receipt of the invoice. The notification window shall be reduced to three days for perishable agricultural commodities, dairy products, edible fats or oils, and food products prepared from edible fats and oils, and to five days for meat, meat food products, fish, and seafood products. Failure to provide timely notification will reduce the payment due date of the corrected invoice by the number of days delayed beyond the allowable notification window.</w:t>
      </w:r>
    </w:p>
    <w:p>
      <w:pPr>
        <w:pStyle w:val="Heading2"/>
      </w:pPr>
      <w:r>
        <w:t xml:space="preserve">1.3 Payment Due Date for Contracts Not Specifying a Due Date</w:t>
      </w:r>
    </w:p>
    <w:p>
      <w:pPr>
        <w:spacing w:after="120" w:line="300"/>
      </w:pPr>
      <w:r>
        <w:rPr>
          <w:rFonts w:ascii="Arial" w:cs="Arial" w:eastAsia="Arial" w:hAnsi="Arial"/>
          <w:sz w:val="22"/>
          <w:szCs w:val="22"/>
        </w:rPr>
        <w:t xml:space="preserve">Where a contract subject to the requirements of FAR 32.9 does not specify a payment due date, the date by which a proper invoice must be paid shall be the earlier of: thirty days after the date on which the designated activity receives the proper invoice; or thirty days after Government acceptance of supplies or services, or the applicable date of constructive acceptance, whichever is later.</w:t>
      </w:r>
    </w:p>
    <w:p>
      <w:pPr>
        <w:pStyle w:val="Heading2"/>
      </w:pPr>
      <w:r>
        <w:t xml:space="preserve">1.4 Accelerated Payment for Small Business Prime Contractors</w:t>
      </w:r>
    </w:p>
    <w:p>
      <w:pPr>
        <w:spacing w:after="120" w:line="300"/>
      </w:pPr>
      <w:r>
        <w:rPr>
          <w:rFonts w:ascii="Arial" w:cs="Arial" w:eastAsia="Arial" w:hAnsi="Arial"/>
          <w:sz w:val="22"/>
          <w:szCs w:val="22"/>
        </w:rPr>
        <w:t xml:space="preserve">For a prime contractor that is a small business concern, the Department shall establish an accelerated payment date with a goal of 15 days after receipt of a proper invoice for the amount due. This requirement applies to all eligible prime contracts identified as having a small business prime, regardless of contract type or dollar value.</w:t>
      </w:r>
    </w:p>
    <w:p>
      <w:pPr>
        <w:pStyle w:val="Heading2"/>
      </w:pPr>
      <w:r>
        <w:t xml:space="preserve">1.5 Payments Due on Weekends and Legal Holidays</w:t>
      </w:r>
    </w:p>
    <w:p>
      <w:pPr>
        <w:spacing w:after="120" w:line="300"/>
      </w:pPr>
      <w:r>
        <w:rPr>
          <w:rFonts w:ascii="Arial" w:cs="Arial" w:eastAsia="Arial" w:hAnsi="Arial"/>
          <w:sz w:val="22"/>
          <w:szCs w:val="22"/>
        </w:rPr>
        <w:t xml:space="preserve">Payments due, including discount periods, on Saturday, Sunday, or legal holidays may be paid on Monday or the next working day without interest. The official payment due date as specified elsewhere in this policy is not changed by this provision.</w:t>
      </w:r>
    </w:p>
    <w:p>
      <w:pPr>
        <w:pStyle w:val="Heading1"/>
      </w:pPr>
      <w:r>
        <w:t xml:space="preserve">Part 2 — Antideficiency Act Violation Process</w:t>
      </w:r>
    </w:p>
    <w:p>
      <w:pPr>
        <w:pStyle w:val="Heading2"/>
      </w:pPr>
      <w:r>
        <w:t xml:space="preserve">2.1 Initial Report of a Potential Violation</w:t>
      </w:r>
    </w:p>
    <w:p>
      <w:pPr>
        <w:spacing w:after="120" w:line="300"/>
      </w:pPr>
      <w:r>
        <w:rPr>
          <w:rFonts w:ascii="Arial" w:cs="Arial" w:eastAsia="Arial" w:hAnsi="Arial"/>
          <w:sz w:val="22"/>
          <w:szCs w:val="22"/>
        </w:rPr>
        <w:t xml:space="preserve">Within ten business days of discovering a potential Antideficiency Act violation, the activity holding the allegedly misused funds shall conduct an initial review and prepare an initial report. The initial review aids in preparing the initial report and determines whether a suspected violation may have occurred, even when the suspected violation is curable. The initial report does not determine responsibility; it merely notifies leadership that a suspected violation may have occurred.</w:t>
      </w:r>
    </w:p>
    <w:p>
      <w:pPr>
        <w:pStyle w:val="Heading2"/>
      </w:pPr>
      <w:r>
        <w:t xml:space="preserve">2.2 Total Process Timeline for ADA Violation Investigations</w:t>
      </w:r>
    </w:p>
    <w:p>
      <w:pPr>
        <w:spacing w:after="120" w:line="300"/>
      </w:pPr>
      <w:r>
        <w:rPr>
          <w:rFonts w:ascii="Arial" w:cs="Arial" w:eastAsia="Arial" w:hAnsi="Arial"/>
          <w:sz w:val="22"/>
          <w:szCs w:val="22"/>
        </w:rPr>
        <w:t xml:space="preserve">The total process for investigating and reporting potential Antideficiency Act violations, including preliminary review, formal investigation, advance decision review, and disciplinary action, shall be completed within fifteen months from the start of the preliminary review. Exceptions to these timeframes may be approved by the Deputy Chief Financial Officer on a case-by-case basis where sufficient justification is provided.</w:t>
      </w:r>
    </w:p>
    <w:p>
      <w:pPr>
        <w:pStyle w:val="Heading2"/>
      </w:pPr>
      <w:r>
        <w:t xml:space="preserve">2.3 Roles of the DoD Inspector General</w:t>
      </w:r>
    </w:p>
    <w:p>
      <w:pPr>
        <w:spacing w:after="120" w:line="300"/>
      </w:pPr>
      <w:r>
        <w:rPr>
          <w:rFonts w:ascii="Arial" w:cs="Arial" w:eastAsia="Arial" w:hAnsi="Arial"/>
          <w:sz w:val="22"/>
          <w:szCs w:val="22"/>
        </w:rPr>
        <w:t xml:space="preserve">The Inspector General Act of 1978, as amended, gives the DoD OIG the authority to conduct investigations of violations of the Antideficiency Act. The DoD OIG reserves the right to initiate investigations of potential violations depending on the type, amount, or significance of the violation.</w:t>
      </w:r>
    </w:p>
    <w:p>
      <w:pPr>
        <w:pStyle w:val="Heading2"/>
      </w:pPr>
      <w:r>
        <w:t xml:space="preserve">2.4 Preliminary Review Completion Timeframe</w:t>
      </w:r>
    </w:p>
    <w:p>
      <w:pPr>
        <w:spacing w:after="120" w:line="300"/>
      </w:pPr>
      <w:r>
        <w:rPr>
          <w:rFonts w:ascii="Arial" w:cs="Arial" w:eastAsia="Arial" w:hAnsi="Arial"/>
          <w:sz w:val="22"/>
          <w:szCs w:val="22"/>
        </w:rPr>
        <w:t xml:space="preserve">The DoD Component shall complete the preliminary review within four months from the date the review was directed by the Component. Upon completion, the investigating officer shall document the findings of the preliminary report and submit the report, accompanied by a legal review, to the applicable DoD Component for approval.</w:t>
      </w:r>
    </w:p>
    <w:p>
      <w:pPr>
        <w:pStyle w:val="Heading1"/>
      </w:pPr>
      <w:r>
        <w:t xml:space="preserve">Part 3 — Accounting for General Equipment</w:t>
      </w:r>
    </w:p>
    <w:p>
      <w:pPr>
        <w:pStyle w:val="Heading2"/>
      </w:pPr>
      <w:r>
        <w:t xml:space="preserve">3.1 Transferred Equipment Cost Basis</w:t>
      </w:r>
    </w:p>
    <w:p>
      <w:pPr>
        <w:spacing w:after="120" w:line="300"/>
      </w:pPr>
      <w:r>
        <w:rPr>
          <w:rFonts w:ascii="Arial" w:cs="Arial" w:eastAsia="Arial" w:hAnsi="Arial"/>
          <w:sz w:val="22"/>
          <w:szCs w:val="22"/>
        </w:rPr>
        <w:t xml:space="preserve">For general equipment transferred from another DoD Component or Federal agency, the receiving Component shall record the asset at its fair value at the time of transfer. The receiving Component shall include the asset in its Accountable Property System of Record upon completion of the transfer and shall retain transfer documentation in accordance with applicable records retention requirements.</w:t>
      </w:r>
    </w:p>
    <w:p>
      <w:pPr>
        <w:pStyle w:val="Heading2"/>
      </w:pPr>
      <w:r>
        <w:t xml:space="preserve">3.2 Donated Equipment Valuation</w:t>
      </w:r>
    </w:p>
    <w:p>
      <w:pPr>
        <w:spacing w:after="120" w:line="300"/>
      </w:pPr>
      <w:r>
        <w:rPr>
          <w:rFonts w:ascii="Arial" w:cs="Arial" w:eastAsia="Arial" w:hAnsi="Arial"/>
          <w:sz w:val="22"/>
          <w:szCs w:val="22"/>
        </w:rPr>
        <w:t xml:space="preserve">General equipment acquired through donation, execution of a will, or judicial process shall be recorded at its estimated fair value as of the most recent reporting date. The recorded value shall be supported by appropriate valuation documentation retained for audit purposes, including the methodology used to derive the fair value estimate and any third-party appraisals relied upon.</w:t>
      </w:r>
    </w:p>
    <w:p>
      <w:pPr>
        <w:pStyle w:val="Heading2"/>
      </w:pPr>
      <w:r>
        <w:t xml:space="preserve">3.3 Equipment Acquired by Trade-In</w:t>
      </w:r>
    </w:p>
    <w:p>
      <w:pPr>
        <w:spacing w:after="120" w:line="300"/>
      </w:pPr>
      <w:r>
        <w:rPr>
          <w:rFonts w:ascii="Arial" w:cs="Arial" w:eastAsia="Arial" w:hAnsi="Arial"/>
          <w:sz w:val="22"/>
          <w:szCs w:val="22"/>
        </w:rPr>
        <w:t xml:space="preserve">The cost basis for general equipment acquired by trading another general equipment asset shall be the net book value of the asset surrendered, plus or minus any cash paid or received, and any liabilities assumed or relinquished as part of the exchange. Net book value means the acquisition cost of the asset less its accumulated depreciation, reduced for any recognized impairments.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2026-05-28T22:59:48.919Z</dcterms:created>
  <dcterms:modified xsi:type="dcterms:W3CDTF">2026-05-28T22:59:48.933Z</dcterms:modified>
</cp:coreProperties>
</file>

<file path=docProps/custom.xml><?xml version="1.0" encoding="utf-8"?>
<Properties xmlns="http://schemas.openxmlformats.org/officeDocument/2006/custom-properties" xmlns:vt="http://schemas.openxmlformats.org/officeDocument/2006/docPropsVTypes"/>
</file>