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sz w:val="40"/>
          <w:szCs w:val="40"/>
          <w:rtl w:val="0"/>
        </w:rPr>
        <w:t xml:space="preserve">Federal Accounting Policy — Working Draft</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Arial" w:cs="Arial" w:eastAsia="Arial" w:hAnsi="Arial"/>
          <w:i w:val="1"/>
          <w:iCs w:val="1"/>
          <w:color w:val="555555"/>
          <w:sz w:val="22"/>
          <w:szCs w:val="22"/>
          <w:rtl w:val="0"/>
        </w:rPr>
        <w:t xml:space="preserve">Sourced from FASAB Statement of Federal Financial Accounting Standards No. 5 (Accounting for Liabilities of the Federal Government) and No. 6 (Accounting for Property, Plant, and Equipment).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Part 1 — Property, Plant, and Equipment</w:t>
      </w:r>
    </w:p>
    <w:p w:rsidR="00000000" w:rsidDel="00000000" w:rsidP="00000000" w:rsidRDefault="00000000" w:rsidRPr="00000000" w14:paraId="00000004">
      <w:pPr>
        <w:pStyle w:val="Heading2"/>
        <w:rPr/>
      </w:pPr>
      <w:r w:rsidDel="00000000" w:rsidR="00000000" w:rsidRPr="00000000">
        <w:rPr>
          <w:rtl w:val="0"/>
        </w:rPr>
        <w:t xml:space="preserve">1.1 Depreciation Recognition Scope</w:t>
      </w:r>
    </w:p>
    <w:p w:rsidR="00000000" w:rsidDel="00000000" w:rsidP="00000000" w:rsidRDefault="00000000" w:rsidRPr="00000000" w14:paraId="00000005">
      <w:pPr>
        <w:spacing w:after="120" w:line="300" w:lineRule="auto"/>
        <w:rPr/>
      </w:pPr>
      <w:r w:rsidDel="00000000" w:rsidR="00000000" w:rsidRPr="00000000">
        <w:rPr>
          <w:rFonts w:ascii="Arial" w:cs="Arial" w:eastAsia="Arial" w:hAnsi="Arial"/>
          <w:sz w:val="22"/>
          <w:szCs w:val="22"/>
          <w:rtl w:val="0"/>
        </w:rPr>
        <w:t xml:space="preserve">Depreciation expense shall be recognized on all general property, plant, and equipment, including land and permanent land rights. Depreciation shall be calculated through the systematic and rational allocation of the cost of general PP&amp;E, less its estimated salvage or residual value, over the estimated useful life of the asset.</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1.2 Federal Mission PP&amp;E Characteristics</w:t>
      </w:r>
    </w:p>
    <w:p w:rsidR="00000000" w:rsidDel="00000000" w:rsidP="00000000" w:rsidRDefault="00000000" w:rsidRPr="00000000" w14:paraId="00000007">
      <w:pPr>
        <w:spacing w:after="120" w:line="300" w:lineRule="auto"/>
        <w:rPr/>
      </w:pPr>
      <w:r w:rsidDel="00000000" w:rsidR="00000000" w:rsidRPr="00000000">
        <w:rPr>
          <w:rFonts w:ascii="Arial" w:cs="Arial" w:eastAsia="Arial" w:hAnsi="Arial"/>
          <w:sz w:val="22"/>
          <w:szCs w:val="22"/>
          <w:rtl w:val="0"/>
        </w:rPr>
        <w:t xml:space="preserve">To be categorized as Federal mission property, plant, and equipment, an item shall meet at least one of the characteristics related to use or useful life. Characteristics related to use include having no expected nongovernmental alternative uses, being held for use in the event of emergency, war, or natural disaster, or being specifically designed for use in a program for which no other program or entity uses similar property with which to compare costs. Characteristics related to useful life include having an indeterminate or unpredictable useful life, or being at very high risk of destruction during use or premature obsolescence.</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1.3 Establishment of Capitalization Thresholds</w:t>
      </w:r>
    </w:p>
    <w:p w:rsidR="00000000" w:rsidDel="00000000" w:rsidP="00000000" w:rsidRDefault="00000000" w:rsidRPr="00000000" w14:paraId="00000009">
      <w:pPr>
        <w:spacing w:after="120" w:line="300" w:lineRule="auto"/>
        <w:rPr/>
      </w:pPr>
      <w:r w:rsidDel="00000000" w:rsidR="00000000" w:rsidRPr="00000000">
        <w:rPr>
          <w:rFonts w:ascii="Arial" w:cs="Arial" w:eastAsia="Arial" w:hAnsi="Arial"/>
          <w:sz w:val="22"/>
          <w:szCs w:val="22"/>
          <w:rtl w:val="0"/>
        </w:rPr>
        <w:t xml:space="preserve">The Department of Defense believes that capitalization thresholds should be established by Federal entities rather than centrally by the Department. Because Federal entities are diverse in size and in uses of property, plant, and equipment, entities must consider their own financial and operational conditions in establishing an appropriate capitalization threshold or thresholds.</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1.4 Property, Plant, and Equipment Definition</w:t>
      </w:r>
    </w:p>
    <w:p w:rsidR="00000000" w:rsidDel="00000000" w:rsidP="00000000" w:rsidRDefault="00000000" w:rsidRPr="00000000" w14:paraId="0000000B">
      <w:pPr>
        <w:spacing w:after="120" w:line="300" w:lineRule="auto"/>
        <w:rPr/>
      </w:pPr>
      <w:r w:rsidDel="00000000" w:rsidR="00000000" w:rsidRPr="00000000">
        <w:rPr>
          <w:rFonts w:ascii="Arial" w:cs="Arial" w:eastAsia="Arial" w:hAnsi="Arial"/>
          <w:sz w:val="22"/>
          <w:szCs w:val="22"/>
          <w:rtl w:val="0"/>
        </w:rPr>
        <w:t xml:space="preserve">Property, plant, and equipment consists of tangible assets, including land, that have estimated useful lives of two years or more, are not intended for sale in the ordinary course of operations, and have been acquired or constructed with the intention of being used or available for use by the entity.</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Part 2 — Liabilities of the Federal Government</w:t>
      </w:r>
    </w:p>
    <w:p w:rsidR="00000000" w:rsidDel="00000000" w:rsidP="00000000" w:rsidRDefault="00000000" w:rsidRPr="00000000" w14:paraId="0000000D">
      <w:pPr>
        <w:pStyle w:val="Heading2"/>
        <w:rPr/>
      </w:pPr>
      <w:r w:rsidDel="00000000" w:rsidR="00000000" w:rsidRPr="00000000">
        <w:rPr>
          <w:rtl w:val="0"/>
        </w:rPr>
        <w:t xml:space="preserve">2.1 Definition of Probable for Liability Recognition</w:t>
      </w:r>
    </w:p>
    <w:p w:rsidR="00000000" w:rsidDel="00000000" w:rsidP="00000000" w:rsidRDefault="00000000" w:rsidRPr="00000000" w14:paraId="0000000E">
      <w:pPr>
        <w:spacing w:after="120" w:line="300" w:lineRule="auto"/>
        <w:rPr/>
      </w:pPr>
      <w:r w:rsidDel="00000000" w:rsidR="00000000" w:rsidRPr="00000000">
        <w:rPr>
          <w:rFonts w:ascii="Arial" w:cs="Arial" w:eastAsia="Arial" w:hAnsi="Arial"/>
          <w:sz w:val="22"/>
          <w:szCs w:val="22"/>
          <w:rtl w:val="0"/>
        </w:rPr>
        <w:t xml:space="preserve">For purposes of recognizing a liability, the term probable refers to that which is more likely than not on the basis of available evidence. This standard applies uniformly to all categories of liabilities, including those associated with pending or threatened litigation and unasserted claims. The probability of a future outflow or other sacrifice of resources shall be assessed on the basis of current facts and circumstances.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2.2 Definition of a Liability</w:t>
      </w:r>
    </w:p>
    <w:p w:rsidR="00000000" w:rsidDel="00000000" w:rsidP="00000000" w:rsidRDefault="00000000" w:rsidRPr="00000000" w14:paraId="00000010">
      <w:pPr>
        <w:spacing w:after="120" w:line="300" w:lineRule="auto"/>
        <w:rPr/>
      </w:pPr>
      <w:r w:rsidDel="00000000" w:rsidR="00000000" w:rsidRPr="00000000">
        <w:rPr>
          <w:rFonts w:ascii="Arial" w:cs="Arial" w:eastAsia="Arial" w:hAnsi="Arial"/>
          <w:sz w:val="22"/>
          <w:szCs w:val="22"/>
          <w:rtl w:val="0"/>
        </w:rPr>
        <w:t xml:space="preserve">A liability for federal accounting purposes is a probable future obligation or other sacrifice of resources as a result of past transactions or events. General purpose federal financial reports shall recognize probable and measurable future outflows or other sacrifices of resources arising from past exchange transactions, government-related events, government-acknowledged events, or nonexchange transactions that, according to current law and applicable policy, are unpaid amounts due as of the reporting date.</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2.3 Exchange Transactions and Liability Recognition</w:t>
      </w:r>
    </w:p>
    <w:p w:rsidR="00000000" w:rsidDel="00000000" w:rsidP="00000000" w:rsidRDefault="00000000" w:rsidRPr="00000000" w14:paraId="00000012">
      <w:pPr>
        <w:spacing w:after="120" w:line="300" w:lineRule="auto"/>
        <w:rPr/>
      </w:pPr>
      <w:r w:rsidDel="00000000" w:rsidR="00000000" w:rsidRPr="00000000">
        <w:rPr>
          <w:rFonts w:ascii="Arial" w:cs="Arial" w:eastAsia="Arial" w:hAnsi="Arial"/>
          <w:sz w:val="22"/>
          <w:szCs w:val="22"/>
          <w:rtl w:val="0"/>
        </w:rPr>
        <w:t xml:space="preserve">An exchange transaction occurs when each party sacrifices value and receives value in return, creating a two-way flow of resources or promises to provide resources. A liability is recognized in an exchange transaction when one party receives goods or services in return for a promise to provide money or other resources in the future.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