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1906"/>
      </w:tblGrid>
      <w:tr>
        <w:trPr>
          <w:trHeight w:val="16838" w:hRule="exact"/>
        </w:trPr>
        <w:tc>
          <w:tcPr>
            <w:tcW w:type="dxa" w:w="11906"/>
            <w:tcBorders>
              <w:top w:val="nil"/>
              <w:left w:val="nil"/>
              <w:bottom w:val="nil"/>
              <w:right w:val="nil"/>
            </w:tcBorders>
            <w:shd w:val="clear" w:color="auto" w:fill="C8D8B0"/>
            <w:vAlign w:val="center"/>
          </w:tcPr>
          <w:p>
            <w:pPr>
              <w:jc w:val="center"/>
            </w:pPr>
            <w:r/>
            <w:r>
              <w:rPr>
                <w:color w:val="2D5A27"/>
                <w:sz w:val="96"/>
              </w:rPr>
              <w:t>☘</w:t>
            </w:r>
          </w:p>
          <w:p>
            <w:pPr>
              <w:spacing w:before="120"/>
              <w:jc w:val="center"/>
            </w:pPr>
            <w:r>
              <w:rPr>
                <w:b/>
                <w:i w:val="0"/>
                <w:sz w:val="32"/>
              </w:rPr>
              <w:t>GREENLIGHT ECOLOGY LTD</w:t>
            </w:r>
          </w:p>
          <w:p>
            <w:pPr>
              <w:spacing w:before="720"/>
              <w:jc w:val="center"/>
            </w:pPr>
            <w:r>
              <w:rPr>
                <w:b/>
                <w:i w:val="0"/>
                <w:sz w:val="48"/>
              </w:rPr>
              <w:t>Preliminary Ecological Appraisal</w:t>
            </w:r>
          </w:p>
          <w:p>
            <w:pPr>
              <w:spacing w:before="120"/>
              <w:jc w:val="center"/>
            </w:pPr>
            <w:r>
              <w:rPr>
                <w:b w:val="0"/>
                <w:i w:val="0"/>
                <w:sz w:val="32"/>
              </w:rPr>
              <w:t>Serge Hill – New Agricultural Barn</w:t>
            </w:r>
          </w:p>
          <w:p>
            <w:pPr>
              <w:spacing w:before="960"/>
              <w:jc w:val="center"/>
            </w:pPr>
            <w:r>
              <w:rPr>
                <w:b w:val="0"/>
                <w:i w:val="0"/>
                <w:sz w:val="24"/>
              </w:rPr>
              <w:t>Samuel Radonich BSc MRes, Director</w:t>
            </w:r>
          </w:p>
          <w:p>
            <w:pPr>
              <w:spacing w:before="0"/>
              <w:jc w:val="center"/>
            </w:pPr>
            <w:r>
              <w:rPr>
                <w:b w:val="0"/>
                <w:i w:val="0"/>
                <w:sz w:val="24"/>
              </w:rPr>
              <w:t>Greenlight Ecology Ltd</w:t>
            </w:r>
          </w:p>
        </w:tc>
      </w:tr>
    </w:tbl>
    <w:p>
      <w:pPr>
        <w:sectPr>
          <w:pgSz w:w="11906" w:h="16838"/>
          <w:pgMar w:top="0" w:right="0" w:bottom="0" w:left="0" w:header="720" w:footer="720" w:gutter="0"/>
          <w:cols w:space="720"/>
          <w:docGrid w:linePitch="360"/>
        </w:sectPr>
      </w:pPr>
    </w:p>
    <w:p>
      <w:r>
        <w:rPr>
          <w:b/>
          <w:color w:val="2D5A27"/>
          <w:sz w:val="40"/>
        </w:rPr>
        <w:t>Preliminary Ecological Appraisal</w:t>
      </w:r>
    </w:p>
    <w:p>
      <w:r>
        <w:rPr>
          <w:i/>
          <w:sz w:val="28"/>
        </w:rPr>
        <w:t>Serge Hill</w:t>
      </w:r>
    </w:p>
    <w:p/>
    <w:p>
      <w:r>
        <w:rPr>
          <w:b/>
        </w:rPr>
        <w:t xml:space="preserve">Prepared By: </w:t>
      </w:r>
      <w:r>
        <w:t>Samuel Radonich, Greenlight Ecology Ltd</w:t>
      </w:r>
    </w:p>
    <w:p>
      <w:r>
        <w:rPr>
          <w:b/>
        </w:rPr>
        <w:t xml:space="preserve">Prepared For: </w:t>
      </w:r>
      <w:r>
        <w:t>Studio Benjamin</w:t>
      </w:r>
    </w:p>
    <w:p>
      <w:r>
        <w:rPr>
          <w:b/>
        </w:rPr>
        <w:t xml:space="preserve">Doc Ref: </w:t>
      </w:r>
      <w:r>
        <w:t>1002</w:t>
      </w:r>
    </w:p>
    <w:p>
      <w:r>
        <w:rPr>
          <w:b/>
        </w:rPr>
        <w:t xml:space="preserve">Author: </w:t>
      </w:r>
      <w:r>
        <w:t>Samuel Radonich BSc MRes, Director</w:t>
      </w:r>
    </w:p>
    <w:p/>
    <w:p>
      <w:r>
        <w:rPr>
          <w:b/>
          <w:sz w:val="24"/>
        </w:rPr>
        <w:t>Version Control</w:t>
      </w:r>
    </w:p>
    <w:tbl>
      <w:tblPr>
        <w:tblStyle w:val="TableGrid"/>
        <w:tblW w:type="auto" w:w="0"/>
        <w:tblLook w:firstColumn="1" w:firstRow="1" w:lastColumn="0" w:lastRow="0" w:noHBand="0" w:noVBand="1" w:val="04A0"/>
      </w:tblPr>
      <w:tblGrid>
        <w:gridCol w:w="1504"/>
        <w:gridCol w:w="1504"/>
        <w:gridCol w:w="1504"/>
        <w:gridCol w:w="1504"/>
        <w:gridCol w:w="1504"/>
        <w:gridCol w:w="1504"/>
      </w:tblGrid>
      <w:tr>
        <w:trPr>
          <w:tblHeader w:val="true"/>
        </w:trPr>
        <w:tc>
          <w:tcPr>
            <w:tcW w:type="dxa" w:w="1504"/>
            <w:shd w:val="clear" w:color="auto" w:fill="2D5A27"/>
          </w:tcPr>
          <w:p>
            <w:r/>
            <w:r>
              <w:rPr>
                <w:b/>
                <w:color w:val="FFFFFF"/>
              </w:rPr>
              <w:t>Version</w:t>
            </w:r>
          </w:p>
        </w:tc>
        <w:tc>
          <w:tcPr>
            <w:tcW w:type="dxa" w:w="1504"/>
            <w:shd w:val="clear" w:color="auto" w:fill="2D5A27"/>
          </w:tcPr>
          <w:p>
            <w:r/>
            <w:r>
              <w:rPr>
                <w:b/>
                <w:color w:val="FFFFFF"/>
              </w:rPr>
              <w:t>Date</w:t>
            </w:r>
          </w:p>
        </w:tc>
        <w:tc>
          <w:tcPr>
            <w:tcW w:type="dxa" w:w="1504"/>
            <w:shd w:val="clear" w:color="auto" w:fill="2D5A27"/>
          </w:tcPr>
          <w:p>
            <w:r/>
            <w:r>
              <w:rPr>
                <w:b/>
                <w:color w:val="FFFFFF"/>
              </w:rPr>
              <w:t>Author</w:t>
            </w:r>
          </w:p>
        </w:tc>
        <w:tc>
          <w:tcPr>
            <w:tcW w:type="dxa" w:w="1504"/>
            <w:shd w:val="clear" w:color="auto" w:fill="2D5A27"/>
          </w:tcPr>
          <w:p>
            <w:r/>
            <w:r>
              <w:rPr>
                <w:b/>
                <w:color w:val="FFFFFF"/>
              </w:rPr>
              <w:t>Checker</w:t>
            </w:r>
          </w:p>
        </w:tc>
        <w:tc>
          <w:tcPr>
            <w:tcW w:type="dxa" w:w="1504"/>
            <w:shd w:val="clear" w:color="auto" w:fill="2D5A27"/>
          </w:tcPr>
          <w:p>
            <w:r/>
            <w:r>
              <w:rPr>
                <w:b/>
                <w:color w:val="FFFFFF"/>
              </w:rPr>
              <w:t>Approver</w:t>
            </w:r>
          </w:p>
        </w:tc>
        <w:tc>
          <w:tcPr>
            <w:tcW w:type="dxa" w:w="1504"/>
            <w:shd w:val="clear" w:color="auto" w:fill="2D5A27"/>
          </w:tcPr>
          <w:p>
            <w:r/>
            <w:r>
              <w:rPr>
                <w:b/>
                <w:color w:val="FFFFFF"/>
              </w:rPr>
              <w:t>Changes</w:t>
            </w:r>
          </w:p>
        </w:tc>
      </w:tr>
      <w:tr>
        <w:tc>
          <w:tcPr>
            <w:tcW w:type="dxa" w:w="1504"/>
          </w:tcPr>
          <w:p>
            <w:r>
              <w:t>P01</w:t>
            </w:r>
          </w:p>
        </w:tc>
        <w:tc>
          <w:tcPr>
            <w:tcW w:type="dxa" w:w="1504"/>
          </w:tcPr>
          <w:p>
            <w:r>
              <w:t>24/08/2026</w:t>
            </w:r>
          </w:p>
        </w:tc>
        <w:tc>
          <w:tcPr>
            <w:tcW w:type="dxa" w:w="1504"/>
          </w:tcPr>
          <w:p>
            <w:r>
              <w:t>Samuel Radonich</w:t>
            </w:r>
          </w:p>
        </w:tc>
        <w:tc>
          <w:tcPr>
            <w:tcW w:type="dxa" w:w="1504"/>
          </w:tcPr>
          <w:p>
            <w:r/>
          </w:p>
        </w:tc>
        <w:tc>
          <w:tcPr>
            <w:tcW w:type="dxa" w:w="1504"/>
          </w:tcPr>
          <w:p>
            <w:r/>
          </w:p>
        </w:tc>
        <w:tc>
          <w:tcPr>
            <w:tcW w:type="dxa" w:w="1504"/>
          </w:tcPr>
          <w:p>
            <w:r>
              <w:t>First issue</w:t>
            </w:r>
          </w:p>
        </w:tc>
      </w:tr>
    </w:tbl>
    <w:p/>
    <w:p>
      <w:r>
        <w:rPr>
          <w:i/>
          <w:sz w:val="16"/>
        </w:rPr>
        <w:t>This report dated 24/08/2026 has been prepared for Studio Benjamin (the 'Client') in accordance with the terms and conditions of appointment (the 'Appointment') between the Client and Samuel Radonich (Greenlight Ecology Ltd) for the purposes specified in the Appointment. For avoidance of doubt, no other person(s) may use or rely upon this report or its contents, and Greenlight Ecology Ltd accepts no responsibility for any such use or reliance thereon by any other third party.</w:t>
      </w:r>
    </w:p>
    <w:p>
      <w:r>
        <w:br w:type="page"/>
      </w:r>
    </w:p>
    <w:p>
      <w:r>
        <w:t>The site survey was undertaken by Samuel Radonich BSc MRes Consultant Ecologist.</w:t>
      </w:r>
    </w:p>
    <w:p/>
    <w:tbl>
      <w:tblPr>
        <w:tblStyle w:val="TableGrid"/>
        <w:tblW w:type="auto" w:w="0"/>
        <w:tblLook w:firstColumn="1" w:firstRow="1" w:lastColumn="0" w:lastRow="0" w:noHBand="0" w:noVBand="1" w:val="04A0"/>
      </w:tblPr>
      <w:tblGrid>
        <w:gridCol w:w="1504"/>
        <w:gridCol w:w="1504"/>
        <w:gridCol w:w="1504"/>
        <w:gridCol w:w="1504"/>
        <w:gridCol w:w="1504"/>
        <w:gridCol w:w="1504"/>
      </w:tblGrid>
      <w:tr>
        <w:trPr>
          <w:tblHeader w:val="true"/>
        </w:trPr>
        <w:tc>
          <w:tcPr>
            <w:tcW w:type="dxa" w:w="1504"/>
            <w:shd w:val="clear" w:color="auto" w:fill="2D5A27"/>
          </w:tcPr>
          <w:p>
            <w:r/>
            <w:r>
              <w:rPr>
                <w:b/>
                <w:color w:val="FFFFFF"/>
              </w:rPr>
              <w:t>Date of survey</w:t>
            </w:r>
          </w:p>
        </w:tc>
        <w:tc>
          <w:tcPr>
            <w:tcW w:type="dxa" w:w="1504"/>
            <w:shd w:val="clear" w:color="auto" w:fill="2D5A27"/>
          </w:tcPr>
          <w:p>
            <w:r/>
            <w:r>
              <w:rPr>
                <w:b/>
                <w:color w:val="FFFFFF"/>
              </w:rPr>
              <w:t>Temperature (°C)</w:t>
            </w:r>
          </w:p>
        </w:tc>
        <w:tc>
          <w:tcPr>
            <w:tcW w:type="dxa" w:w="1504"/>
            <w:shd w:val="clear" w:color="auto" w:fill="2D5A27"/>
          </w:tcPr>
          <w:p>
            <w:r/>
            <w:r>
              <w:rPr>
                <w:b/>
                <w:color w:val="FFFFFF"/>
              </w:rPr>
              <w:t>Humidity (%)</w:t>
            </w:r>
          </w:p>
        </w:tc>
        <w:tc>
          <w:tcPr>
            <w:tcW w:type="dxa" w:w="1504"/>
            <w:shd w:val="clear" w:color="auto" w:fill="2D5A27"/>
          </w:tcPr>
          <w:p>
            <w:r/>
            <w:r>
              <w:rPr>
                <w:b/>
                <w:color w:val="FFFFFF"/>
              </w:rPr>
              <w:t>Cloud Cover (%)</w:t>
            </w:r>
          </w:p>
        </w:tc>
        <w:tc>
          <w:tcPr>
            <w:tcW w:type="dxa" w:w="1504"/>
            <w:shd w:val="clear" w:color="auto" w:fill="2D5A27"/>
          </w:tcPr>
          <w:p>
            <w:r/>
            <w:r>
              <w:rPr>
                <w:b/>
                <w:color w:val="FFFFFF"/>
              </w:rPr>
              <w:t>Wind (km/h)</w:t>
            </w:r>
          </w:p>
        </w:tc>
        <w:tc>
          <w:tcPr>
            <w:tcW w:type="dxa" w:w="1504"/>
            <w:shd w:val="clear" w:color="auto" w:fill="2D5A27"/>
          </w:tcPr>
          <w:p>
            <w:r/>
            <w:r>
              <w:rPr>
                <w:b/>
                <w:color w:val="FFFFFF"/>
              </w:rPr>
              <w:t>Rain</w:t>
            </w:r>
          </w:p>
        </w:tc>
      </w:tr>
      <w:tr>
        <w:tc>
          <w:tcPr>
            <w:tcW w:type="dxa" w:w="1504"/>
          </w:tcPr>
          <w:p>
            <w:r>
              <w:t>2025-07-21</w:t>
            </w:r>
          </w:p>
        </w:tc>
        <w:tc>
          <w:tcPr>
            <w:tcW w:type="dxa" w:w="1504"/>
          </w:tcPr>
          <w:p>
            <w:r>
              <w:t>23.0</w:t>
            </w:r>
          </w:p>
        </w:tc>
        <w:tc>
          <w:tcPr>
            <w:tcW w:type="dxa" w:w="1504"/>
          </w:tcPr>
          <w:p>
            <w:r>
              <w:t>68.0</w:t>
            </w:r>
          </w:p>
        </w:tc>
        <w:tc>
          <w:tcPr>
            <w:tcW w:type="dxa" w:w="1504"/>
          </w:tcPr>
          <w:p>
            <w:r>
              <w:t>65.0</w:t>
            </w:r>
          </w:p>
        </w:tc>
        <w:tc>
          <w:tcPr>
            <w:tcW w:type="dxa" w:w="1504"/>
          </w:tcPr>
          <w:p>
            <w:r>
              <w:t>18.0</w:t>
            </w:r>
          </w:p>
        </w:tc>
        <w:tc>
          <w:tcPr>
            <w:tcW w:type="dxa" w:w="1504"/>
          </w:tcPr>
          <w:p>
            <w:r>
              <w:t>None</w:t>
            </w:r>
          </w:p>
        </w:tc>
      </w:tr>
    </w:tbl>
    <w:p/>
    <w:tbl>
      <w:tblPr>
        <w:tblStyle w:val="TableGrid"/>
        <w:tblW w:type="auto" w:w="0"/>
        <w:tblLayout w:type="autofit"/>
        <w:tblLook w:firstColumn="1" w:firstRow="1" w:lastColumn="0" w:lastRow="0" w:noHBand="0" w:noVBand="1" w:val="04A0"/>
      </w:tblPr>
      <w:tblGrid>
        <w:gridCol w:w="4513"/>
        <w:gridCol w:w="4513"/>
      </w:tblGrid>
      <w:tr>
        <w:trPr>
          <w:tblHeader w:val="true"/>
        </w:trPr>
        <w:tc>
          <w:tcPr>
            <w:tcW w:type="dxa" w:w="4513"/>
            <w:shd w:val="clear" w:color="auto" w:fill="2D5A27"/>
          </w:tcPr>
          <w:p>
            <w:r/>
            <w:r>
              <w:rPr>
                <w:b/>
                <w:color w:val="FFFFFF"/>
              </w:rPr>
              <w:t>Ecological Survey Factor</w:t>
            </w:r>
          </w:p>
        </w:tc>
        <w:tc>
          <w:tcPr>
            <w:tcW w:type="dxa" w:w="4513"/>
            <w:shd w:val="clear" w:color="auto" w:fill="2D5A27"/>
          </w:tcPr>
          <w:p>
            <w:r/>
            <w:r>
              <w:rPr>
                <w:b/>
                <w:color w:val="FFFFFF"/>
              </w:rPr>
              <w:t>Conclusion, Impact or Recommendations</w:t>
            </w:r>
          </w:p>
        </w:tc>
      </w:tr>
      <w:tr>
        <w:tc>
          <w:tcPr>
            <w:tcW w:type="dxa" w:w="9026"/>
            <w:gridSpan w:val="2"/>
            <w:shd w:val="clear" w:color="auto" w:fill="2D5A27"/>
          </w:tcPr>
          <w:p>
            <w:r/>
            <w:r>
              <w:rPr>
                <w:b/>
                <w:color w:val="FFFFFF"/>
              </w:rPr>
              <w:t>Habitats and Plants</w:t>
            </w:r>
          </w:p>
        </w:tc>
      </w:tr>
      <w:tr>
        <w:tc>
          <w:tcPr>
            <w:tcW w:type="dxa" w:w="4513"/>
            <w:shd w:val="clear" w:color="auto" w:fill="E8F5E9"/>
          </w:tcPr>
          <w:p>
            <w:pPr>
              <w:jc w:val="left"/>
            </w:pPr>
            <w:r/>
            <w:r>
              <w:rPr>
                <w:i/>
              </w:rPr>
              <w:t>Summary of Survey Findings</w:t>
            </w:r>
          </w:p>
        </w:tc>
        <w:tc>
          <w:tcPr>
            <w:tcW w:type="dxa" w:w="4513"/>
            <w:shd w:val="clear" w:color="auto" w:fill="E8F5E9"/>
          </w:tcPr>
          <w:p>
            <w:r/>
            <w:r>
              <w:t>The site, known as Serge Hill, is situated at a grid reference of TL 10766 04254, covering an area of approximately 0.053 hectares. The surrounding land use is predominantly agricultural, with nearby fields and hedgerows, which can support local biodiversity. The site is set to undergo development for a new agricultural barn.</w:t>
            </w:r>
          </w:p>
          <w:p>
            <w:r>
              <w:t>g4 - Modified grassland: The site primarily consists of semi-improved grassland which is dominated by perennial rye grass (Lolium perenne). This habitat is typically managed for agricultural purposes and shows signs of nutrient enrichment whereas the semi-improved aspect indicates some variability in plant species composition likely due to less intensive management practices in certain areas.</w:t>
            </w:r>
          </w:p>
          <w:p>
            <w:r>
              <w:t>h5 - Hedgerow: A beech (Fagus sylvatica) hedgerow borders part of the site, providing structural diversity and serving as an ecological corridor within the agricultural landscape. This hedgerow contributes to the connectivity of habitats and provides potential nesting sites for birds and other wildlife.</w:t>
            </w:r>
          </w:p>
          <w:p>
            <w:r>
              <w:t>g1 - Garden: The site additionally features a prairie-style vegetated garden that includes a mix of ornamental and native plant species, contributing to local biodiversity by providing additional habitat and foraging opportunities for pollinators and other wildlife.</w:t>
            </w:r>
          </w:p>
        </w:tc>
      </w:tr>
      <w:tr>
        <w:tc>
          <w:tcPr>
            <w:tcW w:type="dxa" w:w="4513"/>
            <w:shd w:val="clear" w:color="auto" w:fill="FFFFFF"/>
          </w:tcPr>
          <w:p>
            <w:pPr>
              <w:jc w:val="left"/>
            </w:pPr>
            <w:r/>
            <w:r>
              <w:rPr>
                <w:i/>
              </w:rPr>
              <w:t>Foreseen Impacts</w:t>
            </w:r>
          </w:p>
        </w:tc>
        <w:tc>
          <w:tcPr>
            <w:tcW w:type="dxa" w:w="4513"/>
            <w:shd w:val="clear" w:color="auto" w:fill="FFFFFF"/>
          </w:tcPr>
          <w:p>
            <w:r/>
            <w:r>
              <w:t>The proposed development of a new agricultural barn may lead to the direct loss of semi-improved grassland and the adjacent hedgerow. This loss may reduce habitat availability for species currently using these areas. Additionally, construction activities could result in temporary disturbances to local wildlife, including noise, vibration, and the potential for accidental habitat destruction.</w:t>
            </w:r>
          </w:p>
        </w:tc>
      </w:tr>
      <w:tr>
        <w:tc>
          <w:tcPr>
            <w:tcW w:type="dxa" w:w="4513"/>
            <w:shd w:val="clear" w:color="auto" w:fill="E8F5E9"/>
          </w:tcPr>
          <w:p>
            <w:pPr>
              <w:jc w:val="left"/>
            </w:pPr>
            <w:r/>
            <w:r>
              <w:rPr>
                <w:i/>
              </w:rPr>
              <w:t>Recommendations</w:t>
            </w:r>
          </w:p>
        </w:tc>
        <w:tc>
          <w:tcPr>
            <w:tcW w:type="dxa" w:w="4513"/>
            <w:shd w:val="clear" w:color="auto" w:fill="E8F5E9"/>
          </w:tcPr>
          <w:p>
            <w:r/>
            <w:r>
              <w:t>To mitigate the foreseen impacts, it is essential to follow standard precautionary working methods to protect existing habitats. These may include conducting pre-construction surveys for nesting birds, especially within the beech hedgerow, to ensure compliance with the Wildlife and Countryside Act 1981. Avoiding the hedgerow during the nesting season from March to August is recommended. Furthermore, it is suggested that habitat enhancement measures be incorporated into the design of the new barn; for instance, planting native species adjacent to the development to support local wildlife, creating a wildflower meadow on a portion of the site that remains undeveloped, and ensuring the hedgerow is adequately retained and maintained. Additionally, consultation with local biodiversity action plans, ensuring compliance with the NERC Act 2006 and the Conservation of Habitats Regulations 2017, is advised to enhance ecological connectivity and deliver biodiversity net gain.</w:t>
            </w:r>
          </w:p>
        </w:tc>
      </w:tr>
      <w:tr>
        <w:tc>
          <w:tcPr>
            <w:tcW w:type="dxa" w:w="9026"/>
            <w:gridSpan w:val="2"/>
            <w:shd w:val="clear" w:color="auto" w:fill="2D5A27"/>
          </w:tcPr>
          <w:p>
            <w:r/>
            <w:r>
              <w:rPr>
                <w:b/>
                <w:color w:val="FFFFFF"/>
              </w:rPr>
              <w:t>Locality and Designated Sites</w:t>
            </w:r>
          </w:p>
        </w:tc>
      </w:tr>
      <w:tr>
        <w:tc>
          <w:tcPr>
            <w:tcW w:type="dxa" w:w="4513"/>
            <w:shd w:val="clear" w:color="auto" w:fill="FFFFFF"/>
          </w:tcPr>
          <w:p>
            <w:pPr>
              <w:jc w:val="left"/>
            </w:pPr>
            <w:r/>
            <w:r>
              <w:rPr>
                <w:i/>
              </w:rPr>
              <w:t>Summary of Survey Findings</w:t>
            </w:r>
          </w:p>
        </w:tc>
        <w:tc>
          <w:tcPr>
            <w:tcW w:type="dxa" w:w="4513"/>
            <w:shd w:val="clear" w:color="auto" w:fill="FFFFFF"/>
          </w:tcPr>
          <w:p>
            <w:r/>
            <w:r>
              <w:t>On-site designations: There are no on-site designated sites.</w:t>
            </w:r>
          </w:p>
          <w:p>
            <w:r>
              <w:t>Statutory sites within 2km: A check of the EPSL and MAGIC databases indicates that there are no statutory designated sites within a 2km radius of the site.</w:t>
            </w:r>
          </w:p>
          <w:p>
            <w:r>
              <w:t>Non-statutory designated sites: Multiple ancient woodland inventory sites are located within 2km of the site, indicating the potential ecological significance of the surrounding landscape.</w:t>
            </w:r>
          </w:p>
        </w:tc>
      </w:tr>
      <w:tr>
        <w:tc>
          <w:tcPr>
            <w:tcW w:type="dxa" w:w="4513"/>
            <w:shd w:val="clear" w:color="auto" w:fill="E8F5E9"/>
          </w:tcPr>
          <w:p>
            <w:pPr>
              <w:jc w:val="left"/>
            </w:pPr>
            <w:r/>
            <w:r>
              <w:rPr>
                <w:i/>
              </w:rPr>
              <w:t>Foreseen Impacts</w:t>
            </w:r>
          </w:p>
        </w:tc>
        <w:tc>
          <w:tcPr>
            <w:tcW w:type="dxa" w:w="4513"/>
            <w:shd w:val="clear" w:color="auto" w:fill="E8F5E9"/>
          </w:tcPr>
          <w:p>
            <w:r/>
            <w:r>
              <w:t>The proposed development of a new agricultural barn could result in habitat loss and potential disturbance to local wildlife, especially during the construction phase. Encroachment into areas of natural vegetation adjacent to the site should be managed to avoid any adverse impacts on nearby ancient woodlands which are known to support various species of conservation interest.</w:t>
            </w:r>
          </w:p>
        </w:tc>
      </w:tr>
      <w:tr>
        <w:tc>
          <w:tcPr>
            <w:tcW w:type="dxa" w:w="4513"/>
            <w:shd w:val="clear" w:color="auto" w:fill="FFFFFF"/>
          </w:tcPr>
          <w:p>
            <w:pPr>
              <w:jc w:val="left"/>
            </w:pPr>
            <w:r/>
            <w:r>
              <w:rPr>
                <w:i/>
              </w:rPr>
              <w:t>Recommendations</w:t>
            </w:r>
          </w:p>
        </w:tc>
        <w:tc>
          <w:tcPr>
            <w:tcW w:type="dxa" w:w="4513"/>
            <w:shd w:val="clear" w:color="auto" w:fill="FFFFFF"/>
          </w:tcPr>
          <w:p>
            <w:r/>
            <w:r>
              <w:t>It is recommended that a precautionary working method statement be developed to mitigate any potential impacts during the construction phase. This should include measures to prevent disturbance to surrounding ancient woodlands and ensure compliance with relevant legislation, including the Wildlife and Countryside Act 1981 and the Conservation of Habitats Regulations 2017. To enhance biodiversity, it is suggested that features such as bat boxes or bird nesting sites be integrated into the design of the new barn, as well as a native planting scheme around the site to provide habitat connectivity.</w:t>
            </w:r>
          </w:p>
        </w:tc>
      </w:tr>
      <w:tr>
        <w:tc>
          <w:tcPr>
            <w:tcW w:type="dxa" w:w="9026"/>
            <w:gridSpan w:val="2"/>
            <w:shd w:val="clear" w:color="auto" w:fill="2D5A27"/>
          </w:tcPr>
          <w:p>
            <w:r/>
            <w:r>
              <w:rPr>
                <w:b/>
                <w:color w:val="FFFFFF"/>
              </w:rPr>
              <w:t>Invasive / Non-native species</w:t>
            </w:r>
          </w:p>
        </w:tc>
      </w:tr>
      <w:tr>
        <w:tc>
          <w:tcPr>
            <w:tcW w:type="dxa" w:w="4513"/>
            <w:shd w:val="clear" w:color="auto" w:fill="E8F5E9"/>
          </w:tcPr>
          <w:p>
            <w:pPr>
              <w:jc w:val="left"/>
            </w:pPr>
            <w:r/>
            <w:r>
              <w:rPr>
                <w:i/>
              </w:rPr>
              <w:t>Summary of Survey Findings</w:t>
            </w:r>
          </w:p>
        </w:tc>
        <w:tc>
          <w:tcPr>
            <w:tcW w:type="dxa" w:w="4513"/>
            <w:shd w:val="clear" w:color="auto" w:fill="E8F5E9"/>
          </w:tcPr>
          <w:p>
            <w:r/>
            <w:r>
              <w:t>EPSL / MAGIC Data: No Schedule 9 species recorded during the survey.</w:t>
            </w:r>
          </w:p>
          <w:p>
            <w:r>
              <w:t>Habitat Suitability: The site is primarily comprised of grassland habitat (UKHab code: GS2) with small areas of scrub and non-native trees. The connectivity to surrounding habitats offers limited potential for non-native invasive species to establish or propagate.</w:t>
            </w:r>
          </w:p>
          <w:p>
            <w:r>
              <w:t>Survey Findings: The site survey conducted on [insert date] revealed no evidence of invasive non-native species listed under Schedule 9 of the Wildlife and Countryside Act 1981. Additionally, no records were found on checks carried out against the EPSL and MAGIC databases for this site.</w:t>
            </w:r>
          </w:p>
        </w:tc>
      </w:tr>
      <w:tr>
        <w:tc>
          <w:tcPr>
            <w:tcW w:type="dxa" w:w="4513"/>
            <w:shd w:val="clear" w:color="auto" w:fill="FFFFFF"/>
          </w:tcPr>
          <w:p>
            <w:pPr>
              <w:jc w:val="left"/>
            </w:pPr>
            <w:r/>
            <w:r>
              <w:rPr>
                <w:i/>
              </w:rPr>
              <w:t>Foreseen Impacts</w:t>
            </w:r>
          </w:p>
        </w:tc>
        <w:tc>
          <w:tcPr>
            <w:tcW w:type="dxa" w:w="4513"/>
            <w:shd w:val="clear" w:color="auto" w:fill="FFFFFF"/>
          </w:tcPr>
          <w:p>
            <w:r/>
            <w:r>
              <w:t>Given the absence of invasive non-native species on-site and the planned development of a new agricultural barn, the risk of introducing or propagating invasive species is considered low. However, care must be taken during site preparation and construction to prevent the accidental introduction of such species.</w:t>
            </w:r>
          </w:p>
        </w:tc>
      </w:tr>
      <w:tr>
        <w:tc>
          <w:tcPr>
            <w:tcW w:type="dxa" w:w="4513"/>
            <w:shd w:val="clear" w:color="auto" w:fill="E8F5E9"/>
          </w:tcPr>
          <w:p>
            <w:pPr>
              <w:jc w:val="left"/>
            </w:pPr>
            <w:r/>
            <w:r>
              <w:rPr>
                <w:i/>
              </w:rPr>
              <w:t>Recommendations</w:t>
            </w:r>
          </w:p>
        </w:tc>
        <w:tc>
          <w:tcPr>
            <w:tcW w:type="dxa" w:w="4513"/>
            <w:shd w:val="clear" w:color="auto" w:fill="E8F5E9"/>
          </w:tcPr>
          <w:p>
            <w:r/>
            <w:r>
              <w:t>To further mitigate the risk of invasive species disturbance, it is recommended that all construction and groundwork adhere to precautionary measures, including the following: 1. Ensuring that all equipment and machinery are cleaned before arriving on site to prevent the introduction of propagules. 2. Implementing a site management plan to address any potential invasive species that may appear in the future as a result of habitat disturbance.</w:t>
            </w:r>
          </w:p>
          <w:p>
            <w:r>
              <w:t>Suggested biodiversity enhancements: Consider incorporating native plant species in any landscaping or habitat restoration efforts post-construction to enhance local biodiversity and provide habitat for native fauna.</w:t>
            </w:r>
          </w:p>
        </w:tc>
      </w:tr>
      <w:tr>
        <w:tc>
          <w:tcPr>
            <w:tcW w:type="dxa" w:w="9026"/>
            <w:gridSpan w:val="2"/>
            <w:shd w:val="clear" w:color="auto" w:fill="2D5A27"/>
          </w:tcPr>
          <w:p>
            <w:r/>
            <w:r>
              <w:rPr>
                <w:b/>
                <w:color w:val="FFFFFF"/>
              </w:rPr>
              <w:t>Invertebrates</w:t>
            </w:r>
          </w:p>
        </w:tc>
      </w:tr>
      <w:tr>
        <w:tc>
          <w:tcPr>
            <w:tcW w:type="dxa" w:w="4513"/>
            <w:shd w:val="clear" w:color="auto" w:fill="FFFFFF"/>
          </w:tcPr>
          <w:p>
            <w:pPr>
              <w:jc w:val="left"/>
            </w:pPr>
            <w:r/>
            <w:r>
              <w:rPr>
                <w:i/>
              </w:rPr>
              <w:t>Summary of Survey Findings</w:t>
            </w:r>
          </w:p>
        </w:tc>
        <w:tc>
          <w:tcPr>
            <w:tcW w:type="dxa" w:w="4513"/>
            <w:shd w:val="clear" w:color="auto" w:fill="FFFFFF"/>
          </w:tcPr>
          <w:p>
            <w:r/>
            <w:r>
              <w:t>EPSL / MAGIC Data: The EPSL/MAGIC database search for the site indicated no records of European Protected Species (EPS) or Priority Species of invertebrates within the vicinity of Serge Hill. The nearest designated sites do not impact the invertebrate habitat.</w:t>
            </w:r>
          </w:p>
          <w:p>
            <w:r>
              <w:t>Habitat Suitability: The site comprises modified grassland (UKHab code G1) and hedgerow (UKHab code H2), which are both suitable for supporting a variety of common invertebrate species.</w:t>
            </w:r>
          </w:p>
          <w:p>
            <w:r>
              <w:t>Survey Findings: Field observations during the preliminary ecological appraisal identified a range of common invertebrate species typical of modified grassland and hedgerow habitats. No invasive species were recorded on site.</w:t>
            </w:r>
          </w:p>
        </w:tc>
      </w:tr>
      <w:tr>
        <w:tc>
          <w:tcPr>
            <w:tcW w:type="dxa" w:w="4513"/>
            <w:shd w:val="clear" w:color="auto" w:fill="E8F5E9"/>
          </w:tcPr>
          <w:p>
            <w:pPr>
              <w:jc w:val="left"/>
            </w:pPr>
            <w:r/>
            <w:r>
              <w:rPr>
                <w:i/>
              </w:rPr>
              <w:t>Foreseen Impacts</w:t>
            </w:r>
          </w:p>
        </w:tc>
        <w:tc>
          <w:tcPr>
            <w:tcW w:type="dxa" w:w="4513"/>
            <w:shd w:val="clear" w:color="auto" w:fill="E8F5E9"/>
          </w:tcPr>
          <w:p>
            <w:r/>
            <w:r>
              <w:t>The construction and operation of the new agricultural barn may result in direct impacts to invertebrate habitats through habitat loss and possible indirect impacts through increased disturbance during construction activities.</w:t>
            </w:r>
          </w:p>
        </w:tc>
      </w:tr>
      <w:tr>
        <w:tc>
          <w:tcPr>
            <w:tcW w:type="dxa" w:w="4513"/>
            <w:shd w:val="clear" w:color="auto" w:fill="FFFFFF"/>
          </w:tcPr>
          <w:p>
            <w:pPr>
              <w:jc w:val="left"/>
            </w:pPr>
            <w:r/>
            <w:r>
              <w:rPr>
                <w:i/>
              </w:rPr>
              <w:t>Recommendations</w:t>
            </w:r>
          </w:p>
        </w:tc>
        <w:tc>
          <w:tcPr>
            <w:tcW w:type="dxa" w:w="4513"/>
            <w:shd w:val="clear" w:color="auto" w:fill="FFFFFF"/>
          </w:tcPr>
          <w:p>
            <w:r/>
            <w:r>
              <w:t>To mitigate potential impacts on invertebrate populations, it is recommended to retain and protect existing hedgerows and modified grassland where possible. The implementation of buffer zones around these habitats during construction activities is crucial. Additionally, best practice guidance in accordance with the Wildlife and Countryside Act 1981, the NERC Act 2006, and the Conservation of Habitats Regulations 2017 should be followed to ensure minimal disturbance to invertebrate species.</w:t>
            </w:r>
          </w:p>
          <w:p>
            <w:r>
              <w:t>Suggested biodiversity enhancements: Post-construction, it is recommended to enhance biodiversity by incorporating native plant species in landscaped areas, creating wildflower patches, and providing habitats like deadwood piles or bee hotels to support local invertebrate populations.</w:t>
            </w:r>
          </w:p>
        </w:tc>
      </w:tr>
      <w:tr>
        <w:tc>
          <w:tcPr>
            <w:tcW w:type="dxa" w:w="9026"/>
            <w:gridSpan w:val="2"/>
            <w:shd w:val="clear" w:color="auto" w:fill="2D5A27"/>
          </w:tcPr>
          <w:p>
            <w:r/>
            <w:r>
              <w:rPr>
                <w:b/>
                <w:color w:val="FFFFFF"/>
              </w:rPr>
              <w:t>Bats</w:t>
            </w:r>
          </w:p>
        </w:tc>
      </w:tr>
      <w:tr>
        <w:tc>
          <w:tcPr>
            <w:tcW w:type="dxa" w:w="4513"/>
            <w:shd w:val="clear" w:color="auto" w:fill="E8F5E9"/>
          </w:tcPr>
          <w:p>
            <w:pPr>
              <w:jc w:val="left"/>
            </w:pPr>
            <w:r/>
            <w:r>
              <w:rPr>
                <w:i/>
              </w:rPr>
              <w:t>Summary of Survey Findings</w:t>
            </w:r>
          </w:p>
        </w:tc>
        <w:tc>
          <w:tcPr>
            <w:tcW w:type="dxa" w:w="4513"/>
            <w:shd w:val="clear" w:color="auto" w:fill="E8F5E9"/>
          </w:tcPr>
          <w:p>
            <w:r/>
            <w:r>
              <w:t>EPSL / MAGIC Data: No EPSL records within a 2km radius of the site.</w:t>
            </w:r>
          </w:p>
          <w:p>
            <w:r>
              <w:t>Habitat Suitability: The hedgerow along the site boundary is identified as suitable foraging and commuting habitat for bats, potentially providing connections to surrounding habitats.</w:t>
            </w:r>
          </w:p>
          <w:p>
            <w:r>
              <w:t>Survey Findings: No evidence of bat roosting was observed during the site survey. The hedgerow provides appropriate foraging opportunities for various bat species.</w:t>
            </w:r>
          </w:p>
        </w:tc>
      </w:tr>
      <w:tr>
        <w:tc>
          <w:tcPr>
            <w:tcW w:type="dxa" w:w="4513"/>
            <w:shd w:val="clear" w:color="auto" w:fill="FFFFFF"/>
          </w:tcPr>
          <w:p>
            <w:pPr>
              <w:jc w:val="left"/>
            </w:pPr>
            <w:r/>
            <w:r>
              <w:rPr>
                <w:i/>
              </w:rPr>
              <w:t>Foreseen Impacts</w:t>
            </w:r>
          </w:p>
        </w:tc>
        <w:tc>
          <w:tcPr>
            <w:tcW w:type="dxa" w:w="4513"/>
            <w:shd w:val="clear" w:color="auto" w:fill="FFFFFF"/>
          </w:tcPr>
          <w:p>
            <w:r/>
            <w:r>
              <w:t>The proposed development of a new agricultural barn is unlikely to have a direct impact on roosting habitats due to the absence of evidence for bat roosts. However, care should be taken to avoid disturbing foraging and commuting behaviours of bats during construction activities.</w:t>
            </w:r>
          </w:p>
        </w:tc>
      </w:tr>
      <w:tr>
        <w:tc>
          <w:tcPr>
            <w:tcW w:type="dxa" w:w="4513"/>
            <w:shd w:val="clear" w:color="auto" w:fill="E8F5E9"/>
          </w:tcPr>
          <w:p>
            <w:pPr>
              <w:jc w:val="left"/>
            </w:pPr>
            <w:r/>
            <w:r>
              <w:rPr>
                <w:i/>
              </w:rPr>
              <w:t>Recommendations</w:t>
            </w:r>
          </w:p>
        </w:tc>
        <w:tc>
          <w:tcPr>
            <w:tcW w:type="dxa" w:w="4513"/>
            <w:shd w:val="clear" w:color="auto" w:fill="E8F5E9"/>
          </w:tcPr>
          <w:p>
            <w:r/>
            <w:r>
              <w:t>It is recommended that construction activities adhere to best practice guidelines to minimise disturbance to bats. Lighting schemes should be designed to avoid light pollution in the hedgerow area. Furthermore, enhancements such as bat boxes could be integrated into the development to support local bat populations.</w:t>
            </w:r>
          </w:p>
          <w:p>
            <w:r>
              <w:t>Suggested biodiversity enhancements: Install bat boxes on the barn and retain existing hedgerows to ensure continued foraging opportunities.</w:t>
            </w:r>
          </w:p>
        </w:tc>
      </w:tr>
      <w:tr>
        <w:tc>
          <w:tcPr>
            <w:tcW w:type="dxa" w:w="9026"/>
            <w:gridSpan w:val="2"/>
            <w:shd w:val="clear" w:color="auto" w:fill="2D5A27"/>
          </w:tcPr>
          <w:p>
            <w:r/>
            <w:r>
              <w:rPr>
                <w:b/>
                <w:color w:val="FFFFFF"/>
              </w:rPr>
              <w:t>Birds</w:t>
            </w:r>
          </w:p>
        </w:tc>
      </w:tr>
      <w:tr>
        <w:tc>
          <w:tcPr>
            <w:tcW w:type="dxa" w:w="4513"/>
            <w:shd w:val="clear" w:color="auto" w:fill="FFFFFF"/>
          </w:tcPr>
          <w:p>
            <w:pPr>
              <w:jc w:val="left"/>
            </w:pPr>
            <w:r/>
            <w:r>
              <w:rPr>
                <w:i/>
              </w:rPr>
              <w:t>Summary of Survey Findings</w:t>
            </w:r>
          </w:p>
        </w:tc>
        <w:tc>
          <w:tcPr>
            <w:tcW w:type="dxa" w:w="4513"/>
            <w:shd w:val="clear" w:color="auto" w:fill="FFFFFF"/>
          </w:tcPr>
          <w:p>
            <w:r/>
            <w:r>
              <w:t>EPSL / MAGIC Data: Database checks indicate no European Protected Species Licences (EPSL) related to birds within the vicinity of the site. The MAGIC database confirmed that the area does not contain any designated sites that directly impact bird species.</w:t>
            </w:r>
          </w:p>
          <w:p>
            <w:r>
              <w:t>Habitat Suitability: The site consists of a typical agricultural landscape with surrounding hedgerows, which may provide suitable nesting habitats for common birds. However, no active nests were recorded during preliminary assessments.</w:t>
            </w:r>
          </w:p>
          <w:p>
            <w:r>
              <w:t>Survey Findings: During the assessment, no active nests were found on the site. The hedgerow surrounding the area may serve as potential nesting sites, particularly for common species such as thrushes and finches. There are no indications of barn owl presence during the survey period.</w:t>
            </w:r>
          </w:p>
        </w:tc>
      </w:tr>
      <w:tr>
        <w:tc>
          <w:tcPr>
            <w:tcW w:type="dxa" w:w="4513"/>
            <w:shd w:val="clear" w:color="auto" w:fill="E8F5E9"/>
          </w:tcPr>
          <w:p>
            <w:pPr>
              <w:jc w:val="left"/>
            </w:pPr>
            <w:r/>
            <w:r>
              <w:rPr>
                <w:i/>
              </w:rPr>
              <w:t>Foreseen Impacts</w:t>
            </w:r>
          </w:p>
        </w:tc>
        <w:tc>
          <w:tcPr>
            <w:tcW w:type="dxa" w:w="4513"/>
            <w:shd w:val="clear" w:color="auto" w:fill="E8F5E9"/>
          </w:tcPr>
          <w:p>
            <w:r/>
            <w:r>
              <w:t>The development of the new agricultural barn is unlikely to directly impact any protected bird species given the absence of active nests. However, care should be taken to minimise disturbance to nesting birds in adjacent vegetation during the construction phase.</w:t>
            </w:r>
          </w:p>
        </w:tc>
      </w:tr>
      <w:tr>
        <w:tc>
          <w:tcPr>
            <w:tcW w:type="dxa" w:w="4513"/>
            <w:shd w:val="clear" w:color="auto" w:fill="FFFFFF"/>
          </w:tcPr>
          <w:p>
            <w:pPr>
              <w:jc w:val="left"/>
            </w:pPr>
            <w:r/>
            <w:r>
              <w:rPr>
                <w:i/>
              </w:rPr>
              <w:t>Recommendations</w:t>
            </w:r>
          </w:p>
        </w:tc>
        <w:tc>
          <w:tcPr>
            <w:tcW w:type="dxa" w:w="4513"/>
            <w:shd w:val="clear" w:color="auto" w:fill="FFFFFF"/>
          </w:tcPr>
          <w:p>
            <w:r/>
            <w:r>
              <w:t>To ensure compliance with the Wildlife and Countryside Act 1981 and the NERC Act 2006, no works should take place during the breeding season (March to August) unless a pre-construction check for nesting birds is conducted by an experienced ecologist. In the event that active nests are found, a suitable buffer zone must be established around the nest until the young have fledged. Additionally, implementing a bird-friendly design could enhance the ecological value of the barn-suggestions include installing bird boxes in the surrounding hedgerow and using native plant species in any landscaping.</w:t>
            </w:r>
          </w:p>
          <w:p>
            <w:r>
              <w:t>Suggested biodiversity enhancements: Enhancements could include the provision of bird boxes suitable for various species, including small passerines and potentially barn owls, which could be integrated into the barn design or placed in nearby trees to support local avian populations.</w:t>
            </w:r>
          </w:p>
        </w:tc>
      </w:tr>
      <w:tr>
        <w:tc>
          <w:tcPr>
            <w:tcW w:type="dxa" w:w="9026"/>
            <w:gridSpan w:val="2"/>
            <w:shd w:val="clear" w:color="auto" w:fill="2D5A27"/>
          </w:tcPr>
          <w:p>
            <w:r/>
            <w:r>
              <w:rPr>
                <w:b/>
                <w:color w:val="FFFFFF"/>
              </w:rPr>
              <w:t>Reptiles</w:t>
            </w:r>
          </w:p>
        </w:tc>
      </w:tr>
      <w:tr>
        <w:tc>
          <w:tcPr>
            <w:tcW w:type="dxa" w:w="4513"/>
            <w:shd w:val="clear" w:color="auto" w:fill="E8F5E9"/>
          </w:tcPr>
          <w:p>
            <w:pPr>
              <w:jc w:val="left"/>
            </w:pPr>
            <w:r/>
            <w:r>
              <w:rPr>
                <w:i/>
              </w:rPr>
              <w:t>Summary of Survey Findings</w:t>
            </w:r>
          </w:p>
        </w:tc>
        <w:tc>
          <w:tcPr>
            <w:tcW w:type="dxa" w:w="4513"/>
            <w:shd w:val="clear" w:color="auto" w:fill="E8F5E9"/>
          </w:tcPr>
          <w:p>
            <w:r/>
            <w:r>
              <w:t>EPSL / MAGIC Data: No EPSL records for reptiles found.</w:t>
            </w:r>
          </w:p>
          <w:p>
            <w:r>
              <w:t>Habitat Suitability: The grassland habitat on-site is considered suboptimal for reptiles, primarily due to the short sward height leading to limited foraging and basking opportunities.</w:t>
            </w:r>
          </w:p>
          <w:p>
            <w:r>
              <w:t>Survey Findings: No reptiles were observed during the site survey.</w:t>
            </w:r>
          </w:p>
        </w:tc>
      </w:tr>
      <w:tr>
        <w:tc>
          <w:tcPr>
            <w:tcW w:type="dxa" w:w="4513"/>
            <w:shd w:val="clear" w:color="auto" w:fill="FFFFFF"/>
          </w:tcPr>
          <w:p>
            <w:pPr>
              <w:jc w:val="left"/>
            </w:pPr>
            <w:r/>
            <w:r>
              <w:rPr>
                <w:i/>
              </w:rPr>
              <w:t>Foreseen Impacts</w:t>
            </w:r>
          </w:p>
        </w:tc>
        <w:tc>
          <w:tcPr>
            <w:tcW w:type="dxa" w:w="4513"/>
            <w:shd w:val="clear" w:color="auto" w:fill="FFFFFF"/>
          </w:tcPr>
          <w:p>
            <w:r/>
            <w:r>
              <w:t>The proposed development of a new agricultural barn is unlikely to directly impact reptile populations due to the suboptimal habitat conditions present on-site. However, disturbance during construction could potentially impact any transient individuals that may occasionally use the site.</w:t>
            </w:r>
          </w:p>
        </w:tc>
      </w:tr>
      <w:tr>
        <w:tc>
          <w:tcPr>
            <w:tcW w:type="dxa" w:w="4513"/>
            <w:shd w:val="clear" w:color="auto" w:fill="E8F5E9"/>
          </w:tcPr>
          <w:p>
            <w:pPr>
              <w:jc w:val="left"/>
            </w:pPr>
            <w:r/>
            <w:r>
              <w:rPr>
                <w:i/>
              </w:rPr>
              <w:t>Recommendations</w:t>
            </w:r>
          </w:p>
        </w:tc>
        <w:tc>
          <w:tcPr>
            <w:tcW w:type="dxa" w:w="4513"/>
            <w:shd w:val="clear" w:color="auto" w:fill="E8F5E9"/>
          </w:tcPr>
          <w:p>
            <w:r/>
            <w:r>
              <w:t>Given the suboptimal habitat, no specific mitigation measures are required for reptiles; however, it is recommended to undertake a precautionary approach, whereby a pre-commencement check for reptiles is conducted prior to any ground works, especially if works are delayed and the grassland conditions change.</w:t>
            </w:r>
          </w:p>
          <w:p>
            <w:r>
              <w:t>Suggested biodiversity enhancements: Consider incorporating small hibernacula or areas of longer grass within the landscaping plans to enhance the habitat for reptiles and increase local biodiversity.</w:t>
            </w:r>
          </w:p>
        </w:tc>
      </w:tr>
      <w:tr>
        <w:tc>
          <w:tcPr>
            <w:tcW w:type="dxa" w:w="9026"/>
            <w:gridSpan w:val="2"/>
            <w:shd w:val="clear" w:color="auto" w:fill="2D5A27"/>
          </w:tcPr>
          <w:p>
            <w:r/>
            <w:r>
              <w:rPr>
                <w:b/>
                <w:color w:val="FFFFFF"/>
              </w:rPr>
              <w:t>Amphibians</w:t>
            </w:r>
          </w:p>
        </w:tc>
      </w:tr>
      <w:tr>
        <w:tc>
          <w:tcPr>
            <w:tcW w:type="dxa" w:w="4513"/>
            <w:shd w:val="clear" w:color="auto" w:fill="FFFFFF"/>
          </w:tcPr>
          <w:p>
            <w:pPr>
              <w:jc w:val="left"/>
            </w:pPr>
            <w:r/>
            <w:r>
              <w:rPr>
                <w:i/>
              </w:rPr>
              <w:t>Summary of Survey Findings</w:t>
            </w:r>
          </w:p>
        </w:tc>
        <w:tc>
          <w:tcPr>
            <w:tcW w:type="dxa" w:w="4513"/>
            <w:shd w:val="clear" w:color="auto" w:fill="FFFFFF"/>
          </w:tcPr>
          <w:p>
            <w:r/>
            <w:r>
              <w:t>EPSL / MAGIC Data: No Great Crested Newt (GCN) European Protected Species Licences (EPSLs) were identified in the vicinity of the site during the EPSL and MAGIC database checks.</w:t>
            </w:r>
          </w:p>
          <w:p>
            <w:r>
              <w:t>Habitat Suitability: The site offers limited habitats for amphibians, primarily due to the small area (0.053 ha) and proximity to more developed land.</w:t>
            </w:r>
          </w:p>
          <w:p>
            <w:r>
              <w:t>Survey Findings: No amphibian surveys were conducted on-site; however, the nearest water body-a swimming pond-is located approximately 270m to the west, which contributes to the low risk assessment.</w:t>
            </w:r>
          </w:p>
        </w:tc>
      </w:tr>
      <w:tr>
        <w:tc>
          <w:tcPr>
            <w:tcW w:type="dxa" w:w="4513"/>
            <w:shd w:val="clear" w:color="auto" w:fill="E8F5E9"/>
          </w:tcPr>
          <w:p>
            <w:pPr>
              <w:jc w:val="left"/>
            </w:pPr>
            <w:r/>
            <w:r>
              <w:rPr>
                <w:i/>
              </w:rPr>
              <w:t>Foreseen Impacts</w:t>
            </w:r>
          </w:p>
        </w:tc>
        <w:tc>
          <w:tcPr>
            <w:tcW w:type="dxa" w:w="4513"/>
            <w:shd w:val="clear" w:color="auto" w:fill="E8F5E9"/>
          </w:tcPr>
          <w:p>
            <w:r/>
            <w:r>
              <w:t>Given the distance to the nearest aquatic habitat and the limited area of the development footprint, the foreseen impacts on amphibians, including Great Crested Newts, from the agricultural barn construction are considered minimal.</w:t>
            </w:r>
          </w:p>
        </w:tc>
      </w:tr>
      <w:tr>
        <w:tc>
          <w:tcPr>
            <w:tcW w:type="dxa" w:w="4513"/>
            <w:shd w:val="clear" w:color="auto" w:fill="FFFFFF"/>
          </w:tcPr>
          <w:p>
            <w:pPr>
              <w:jc w:val="left"/>
            </w:pPr>
            <w:r/>
            <w:r>
              <w:rPr>
                <w:i/>
              </w:rPr>
              <w:t>Recommendations</w:t>
            </w:r>
          </w:p>
        </w:tc>
        <w:tc>
          <w:tcPr>
            <w:tcW w:type="dxa" w:w="4513"/>
            <w:shd w:val="clear" w:color="auto" w:fill="FFFFFF"/>
          </w:tcPr>
          <w:p>
            <w:r/>
            <w:r>
              <w:t>It is advisable to implement precautionary measures during construction to further mitigate any potential risks to the surrounding amphibian population. This includes adhering to best practice guidelines for protecting amphibians during earthworks and site preparation activities.</w:t>
            </w:r>
          </w:p>
          <w:p>
            <w:r>
              <w:t>Suggested biodiversity enhancements: Consider incorporating amphibian-friendly features into the landscape design, such as creating shallow water areas or habitat refuges to enhance local biodiversity.</w:t>
            </w:r>
          </w:p>
        </w:tc>
      </w:tr>
      <w:tr>
        <w:tc>
          <w:tcPr>
            <w:tcW w:type="dxa" w:w="9026"/>
            <w:gridSpan w:val="2"/>
            <w:shd w:val="clear" w:color="auto" w:fill="2D5A27"/>
          </w:tcPr>
          <w:p>
            <w:r/>
            <w:r>
              <w:rPr>
                <w:b/>
                <w:color w:val="FFFFFF"/>
              </w:rPr>
              <w:t>Badger</w:t>
            </w:r>
          </w:p>
        </w:tc>
      </w:tr>
      <w:tr>
        <w:tc>
          <w:tcPr>
            <w:tcW w:type="dxa" w:w="4513"/>
            <w:shd w:val="clear" w:color="auto" w:fill="E8F5E9"/>
          </w:tcPr>
          <w:p>
            <w:pPr>
              <w:jc w:val="left"/>
            </w:pPr>
            <w:r/>
            <w:r>
              <w:rPr>
                <w:i/>
              </w:rPr>
              <w:t>Summary of Survey Findings</w:t>
            </w:r>
          </w:p>
        </w:tc>
        <w:tc>
          <w:tcPr>
            <w:tcW w:type="dxa" w:w="4513"/>
            <w:shd w:val="clear" w:color="auto" w:fill="E8F5E9"/>
          </w:tcPr>
          <w:p>
            <w:r/>
            <w:r>
              <w:t>EPSL / MAGIC Data: No records of badger setts within the EPSL/MAGIC database search for the site.</w:t>
            </w:r>
          </w:p>
          <w:p>
            <w:r>
              <w:t>Habitat Suitability: The site comprises agricultural land (UKHab code: A.1.1 - Arable land) with limited excavation habitat present, offering no suitable sett-digging environment.</w:t>
            </w:r>
          </w:p>
          <w:p>
            <w:r>
              <w:t>Survey Findings: Field survey noted no badger setts within 30m of the site boundary. Evidence of badger activity, such as tracks or foraging signs, was not observed on the site.</w:t>
            </w:r>
          </w:p>
        </w:tc>
      </w:tr>
      <w:tr>
        <w:tc>
          <w:tcPr>
            <w:tcW w:type="dxa" w:w="4513"/>
            <w:shd w:val="clear" w:color="auto" w:fill="FFFFFF"/>
          </w:tcPr>
          <w:p>
            <w:pPr>
              <w:jc w:val="left"/>
            </w:pPr>
            <w:r/>
            <w:r>
              <w:rPr>
                <w:i/>
              </w:rPr>
              <w:t>Foreseen Impacts</w:t>
            </w:r>
          </w:p>
        </w:tc>
        <w:tc>
          <w:tcPr>
            <w:tcW w:type="dxa" w:w="4513"/>
            <w:shd w:val="clear" w:color="auto" w:fill="FFFFFF"/>
          </w:tcPr>
          <w:p>
            <w:r/>
            <w:r>
              <w:t>The proposed development of a new agricultural barn is unlikely to directly impact badgers, given the absence of setts and limited potential habitat nearby.</w:t>
            </w:r>
          </w:p>
        </w:tc>
      </w:tr>
      <w:tr>
        <w:tc>
          <w:tcPr>
            <w:tcW w:type="dxa" w:w="4513"/>
            <w:shd w:val="clear" w:color="auto" w:fill="E8F5E9"/>
          </w:tcPr>
          <w:p>
            <w:pPr>
              <w:jc w:val="left"/>
            </w:pPr>
            <w:r/>
            <w:r>
              <w:rPr>
                <w:i/>
              </w:rPr>
              <w:t>Recommendations</w:t>
            </w:r>
          </w:p>
        </w:tc>
        <w:tc>
          <w:tcPr>
            <w:tcW w:type="dxa" w:w="4513"/>
            <w:shd w:val="clear" w:color="auto" w:fill="E8F5E9"/>
          </w:tcPr>
          <w:p>
            <w:r/>
            <w:r>
              <w:t>To ensure compliance with the Wildlife and Countryside Act 1981, NERC Act 2006, and Conservation of Habitats Regulations 2017, a precautionary approach is recommended. The site should be monitored for any signs of badger activity in the lead-up to construction. If any signs of badger activity are observed, a detailed survey should be conducted by a qualified ecologist before any ground works commence.</w:t>
            </w:r>
          </w:p>
          <w:p>
            <w:r>
              <w:t>Suggested biodiversity enhancements: It is recommended that the design of the agricultural barn incorporates features that may benefit local biodiversity, such as nesting boxes for birds and the inclusion of native planting around the barn to provide foraging opportunities for various species.</w:t>
            </w:r>
          </w:p>
        </w:tc>
      </w:tr>
      <w:tr>
        <w:tc>
          <w:tcPr>
            <w:tcW w:type="dxa" w:w="9026"/>
            <w:gridSpan w:val="2"/>
            <w:shd w:val="clear" w:color="auto" w:fill="2D5A27"/>
          </w:tcPr>
          <w:p>
            <w:r/>
            <w:r>
              <w:rPr>
                <w:b/>
                <w:color w:val="FFFFFF"/>
              </w:rPr>
              <w:t>Riparian Animals</w:t>
            </w:r>
          </w:p>
        </w:tc>
      </w:tr>
      <w:tr>
        <w:tc>
          <w:tcPr>
            <w:tcW w:type="dxa" w:w="4513"/>
            <w:shd w:val="clear" w:color="auto" w:fill="FFFFFF"/>
          </w:tcPr>
          <w:p>
            <w:pPr>
              <w:jc w:val="left"/>
            </w:pPr>
            <w:r/>
            <w:r>
              <w:rPr>
                <w:i/>
              </w:rPr>
              <w:t>Summary of Survey Findings</w:t>
            </w:r>
          </w:p>
        </w:tc>
        <w:tc>
          <w:tcPr>
            <w:tcW w:type="dxa" w:w="4513"/>
            <w:shd w:val="clear" w:color="auto" w:fill="FFFFFF"/>
          </w:tcPr>
          <w:p>
            <w:r/>
            <w:r>
              <w:t>EPSL / MAGIC Data: No relevant EPSL records found for riparian species in the vicinity of Serge Hill.</w:t>
            </w:r>
          </w:p>
          <w:p>
            <w:r>
              <w:t>Habitat Suitability: The site comprises improved grassland (UKHab code: GS2), with no direct access to water bodies or riparian habitats that would typically support riparian animal species.</w:t>
            </w:r>
          </w:p>
          <w:p>
            <w:r>
              <w:t>Survey Findings: Field surveys confirmed no evidence of riparian animals, such as otters (Lutra lutra) or water voles (Arvicola amphibius), within or adjacent to the site.</w:t>
            </w:r>
          </w:p>
        </w:tc>
      </w:tr>
      <w:tr>
        <w:tc>
          <w:tcPr>
            <w:tcW w:type="dxa" w:w="4513"/>
            <w:shd w:val="clear" w:color="auto" w:fill="E8F5E9"/>
          </w:tcPr>
          <w:p>
            <w:pPr>
              <w:jc w:val="left"/>
            </w:pPr>
            <w:r/>
            <w:r>
              <w:rPr>
                <w:i/>
              </w:rPr>
              <w:t>Foreseen Impacts</w:t>
            </w:r>
          </w:p>
        </w:tc>
        <w:tc>
          <w:tcPr>
            <w:tcW w:type="dxa" w:w="4513"/>
            <w:shd w:val="clear" w:color="auto" w:fill="E8F5E9"/>
          </w:tcPr>
          <w:p>
            <w:r/>
            <w:r>
              <w:t>The proposed development of a new agricultural barn is not expected to have significant adverse impacts on riparian species due to the absence of suitable habitats and species on site.</w:t>
            </w:r>
          </w:p>
        </w:tc>
      </w:tr>
      <w:tr>
        <w:tc>
          <w:tcPr>
            <w:tcW w:type="dxa" w:w="4513"/>
            <w:shd w:val="clear" w:color="auto" w:fill="FFFFFF"/>
          </w:tcPr>
          <w:p>
            <w:pPr>
              <w:jc w:val="left"/>
            </w:pPr>
            <w:r/>
            <w:r>
              <w:rPr>
                <w:i/>
              </w:rPr>
              <w:t>Recommendations</w:t>
            </w:r>
          </w:p>
        </w:tc>
        <w:tc>
          <w:tcPr>
            <w:tcW w:type="dxa" w:w="4513"/>
            <w:shd w:val="clear" w:color="auto" w:fill="FFFFFF"/>
          </w:tcPr>
          <w:p>
            <w:r/>
            <w:r>
              <w:t>Despite the lack of riparian species, it is advised to implement best practice measures during construction to mitigate any potential indirect effects on nearby habitats, including maintaining a working buffer zone around any adjacent vegetation.</w:t>
            </w:r>
          </w:p>
          <w:p>
            <w:r>
              <w:t>Suggested biodiversity enhancements: To promote local biodiversity, it is recommended to include native plant species in any landscaping associated with the barn, enhancing the local habitat connectivity.</w:t>
            </w:r>
          </w:p>
        </w:tc>
      </w:tr>
      <w:tr>
        <w:tc>
          <w:tcPr>
            <w:tcW w:type="dxa" w:w="9026"/>
            <w:gridSpan w:val="2"/>
            <w:shd w:val="clear" w:color="auto" w:fill="2D5A27"/>
          </w:tcPr>
          <w:p>
            <w:r/>
            <w:r>
              <w:rPr>
                <w:b/>
                <w:color w:val="FFFFFF"/>
              </w:rPr>
              <w:t>Hazel Dormouse</w:t>
            </w:r>
          </w:p>
        </w:tc>
      </w:tr>
      <w:tr>
        <w:tc>
          <w:tcPr>
            <w:tcW w:type="dxa" w:w="4513"/>
            <w:shd w:val="clear" w:color="auto" w:fill="E8F5E9"/>
          </w:tcPr>
          <w:p>
            <w:pPr>
              <w:jc w:val="left"/>
            </w:pPr>
            <w:r/>
            <w:r>
              <w:rPr>
                <w:i/>
              </w:rPr>
              <w:t>Summary of Survey Findings</w:t>
            </w:r>
          </w:p>
        </w:tc>
        <w:tc>
          <w:tcPr>
            <w:tcW w:type="dxa" w:w="4513"/>
            <w:shd w:val="clear" w:color="auto" w:fill="E8F5E9"/>
          </w:tcPr>
          <w:p>
            <w:r/>
            <w:r>
              <w:t>EPSL / MAGIC Data: No EPSL records for Hazel Dormouse (Muscardinus avellanarius) were found at the Serge Hill site, as confirmed through an EPSL/MAGIC database search.</w:t>
            </w:r>
          </w:p>
          <w:p>
            <w:r>
              <w:t>Habitat Suitability: The proposed development area does not contain suitable habitat for Hazel Dormouse, with no hedgerows, shrubs, or copse habitats present.</w:t>
            </w:r>
          </w:p>
          <w:p>
            <w:r>
              <w:t>Survey Findings: Field notes corroborate the absence of suitable habitat within the development area for Hazel Dormouse; therefore, no survey findings relevant to this species are applicable.</w:t>
            </w:r>
          </w:p>
        </w:tc>
      </w:tr>
      <w:tr>
        <w:tc>
          <w:tcPr>
            <w:tcW w:type="dxa" w:w="4513"/>
            <w:shd w:val="clear" w:color="auto" w:fill="FFFFFF"/>
          </w:tcPr>
          <w:p>
            <w:pPr>
              <w:jc w:val="left"/>
            </w:pPr>
            <w:r/>
            <w:r>
              <w:rPr>
                <w:i/>
              </w:rPr>
              <w:t>Foreseen Impacts</w:t>
            </w:r>
          </w:p>
        </w:tc>
        <w:tc>
          <w:tcPr>
            <w:tcW w:type="dxa" w:w="4513"/>
            <w:shd w:val="clear" w:color="auto" w:fill="FFFFFF"/>
          </w:tcPr>
          <w:p>
            <w:r/>
            <w:r>
              <w:t>Given the lack of suitable habitat within the site, no direct impacts on Hazel Dormouse are anticipated as a result of the proposed development of a new agricultural barn.</w:t>
            </w:r>
          </w:p>
        </w:tc>
      </w:tr>
      <w:tr>
        <w:tc>
          <w:tcPr>
            <w:tcW w:type="dxa" w:w="4513"/>
            <w:shd w:val="clear" w:color="auto" w:fill="E8F5E9"/>
          </w:tcPr>
          <w:p>
            <w:pPr>
              <w:jc w:val="left"/>
            </w:pPr>
            <w:r/>
            <w:r>
              <w:rPr>
                <w:i/>
              </w:rPr>
              <w:t>Recommendations</w:t>
            </w:r>
          </w:p>
        </w:tc>
        <w:tc>
          <w:tcPr>
            <w:tcW w:type="dxa" w:w="4513"/>
            <w:shd w:val="clear" w:color="auto" w:fill="E8F5E9"/>
          </w:tcPr>
          <w:p>
            <w:r/>
            <w:r>
              <w:t>As no suitable habitat for Hazel Dormouse is present, no specific mitigation measures are required. However, it is recommended that during construction, all reasonable measures should be taken to avoid disturbance to any nearby habitats that may support this species.</w:t>
            </w:r>
          </w:p>
          <w:p>
            <w:r>
              <w:t>Suggested biodiversity enhancements: To enhance local biodiversity, it is suggested that native hedgerows (UKHab Code: A1.1) be planted around the boundaries of the agricultural barn in the future, which could provide potential habitats for Hazel Dormouse and other wildlife.</w:t>
            </w:r>
          </w:p>
        </w:tc>
      </w:tr>
      <w:tr>
        <w:tc>
          <w:tcPr>
            <w:tcW w:type="dxa" w:w="9026"/>
            <w:gridSpan w:val="2"/>
            <w:shd w:val="clear" w:color="auto" w:fill="2D5A27"/>
          </w:tcPr>
          <w:p>
            <w:r/>
            <w:r>
              <w:rPr>
                <w:b/>
                <w:color w:val="FFFFFF"/>
              </w:rPr>
              <w:t>Other (e.g. Hedgehog)</w:t>
            </w:r>
          </w:p>
        </w:tc>
      </w:tr>
      <w:tr>
        <w:tc>
          <w:tcPr>
            <w:tcW w:type="dxa" w:w="4513"/>
            <w:shd w:val="clear" w:color="auto" w:fill="FFFFFF"/>
          </w:tcPr>
          <w:p>
            <w:pPr>
              <w:jc w:val="left"/>
            </w:pPr>
            <w:r/>
            <w:r>
              <w:rPr>
                <w:i/>
              </w:rPr>
              <w:t>Summary of Survey Findings</w:t>
            </w:r>
          </w:p>
        </w:tc>
        <w:tc>
          <w:tcPr>
            <w:tcW w:type="dxa" w:w="4513"/>
            <w:shd w:val="clear" w:color="auto" w:fill="FFFFFF"/>
          </w:tcPr>
          <w:p>
            <w:r/>
            <w:r>
              <w:t>EPSL / MAGIC Data: Query of the EPSL/MAGIC database returned no records of hedgehogs within the vicinity of Serge Hill.</w:t>
            </w:r>
          </w:p>
          <w:p>
            <w:r>
              <w:t>Habitat Suitability: The site comprises semi-improved grassland (UKHab code: E1.1) surrounded by agricultural land, which provides suitable foraging and nesting habitat for hedgehogs (Erinaceus europaeus).</w:t>
            </w:r>
          </w:p>
          <w:p>
            <w:r>
              <w:t>Survey Findings: No evidence of hedgehog activity was recorded during the site visit; however, the surrounding habitat is recognized as potential hedgehog habitat due to the agricultural surroundings.</w:t>
            </w:r>
          </w:p>
        </w:tc>
      </w:tr>
      <w:tr>
        <w:tc>
          <w:tcPr>
            <w:tcW w:type="dxa" w:w="4513"/>
            <w:shd w:val="clear" w:color="auto" w:fill="E8F5E9"/>
          </w:tcPr>
          <w:p>
            <w:pPr>
              <w:jc w:val="left"/>
            </w:pPr>
            <w:r/>
            <w:r>
              <w:rPr>
                <w:i/>
              </w:rPr>
              <w:t>Foreseen Impacts</w:t>
            </w:r>
          </w:p>
        </w:tc>
        <w:tc>
          <w:tcPr>
            <w:tcW w:type="dxa" w:w="4513"/>
            <w:shd w:val="clear" w:color="auto" w:fill="E8F5E9"/>
          </w:tcPr>
          <w:p>
            <w:r/>
            <w:r>
              <w:t>Given the low direct impact risk posed by the development of the agricultural barn, it is anticipated that hedgehogs may not be significantly affected. Precautionary measures should be implemented to safeguard individual animals that may traverse the site during construction.</w:t>
            </w:r>
          </w:p>
        </w:tc>
      </w:tr>
      <w:tr>
        <w:tc>
          <w:tcPr>
            <w:tcW w:type="dxa" w:w="4513"/>
            <w:shd w:val="clear" w:color="auto" w:fill="FFFFFF"/>
          </w:tcPr>
          <w:p>
            <w:pPr>
              <w:jc w:val="left"/>
            </w:pPr>
            <w:r/>
            <w:r>
              <w:rPr>
                <w:i/>
              </w:rPr>
              <w:t>Recommendations</w:t>
            </w:r>
          </w:p>
        </w:tc>
        <w:tc>
          <w:tcPr>
            <w:tcW w:type="dxa" w:w="4513"/>
            <w:shd w:val="clear" w:color="auto" w:fill="FFFFFF"/>
          </w:tcPr>
          <w:p>
            <w:r/>
            <w:r>
              <w:t>To mitigate potential impacts, it is recommended that construction activities are undertaken with a precautionary approach, including the provision of hedgehog-friendly features, such as gaps in fencing (minimum 13cm x 13cm) to allow passage. Additionally, if any excavations are to be left open overnight, humane ramps should be installed to allow hedgehogs and other small wildlife to escape.</w:t>
            </w:r>
          </w:p>
          <w:p>
            <w:r>
              <w:t>Suggested biodiversity enhancements: Enhancements could include the creation of hedgehog shelter spaces and the planting of native shrub species around the barn perimeter to provide foraging opportunities and additional cover for hedgehogs.</w:t>
            </w:r>
          </w:p>
        </w:tc>
      </w:tr>
    </w:tbl>
    <w:p>
      <w:r>
        <w:br w:type="page"/>
      </w:r>
    </w:p>
    <w:p>
      <w:r>
        <w:rPr>
          <w:b/>
          <w:color w:val="2D5A27"/>
          <w:sz w:val="28"/>
        </w:rPr>
        <w:t>Appendix 1: Survey/Habitat Map</w:t>
      </w:r>
    </w:p>
    <w:tbl>
      <w:tblPr>
        <w:tblStyle w:val="TableGrid"/>
        <w:tblW w:type="auto" w:w="0"/>
        <w:tblLook w:firstColumn="1" w:firstRow="1" w:lastColumn="0" w:lastRow="0" w:noHBand="0" w:noVBand="1" w:val="04A0"/>
      </w:tblPr>
      <w:tblGrid>
        <w:gridCol w:w="9026"/>
      </w:tblGrid>
      <w:tr>
        <w:tc>
          <w:tcPr>
            <w:tcW w:type="dxa" w:w="9026"/>
            <w:shd w:val="clear" w:color="auto" w:fill="E8F5E9"/>
          </w:tcPr>
          <w:p>
            <w:pPr>
              <w:jc w:val="center"/>
            </w:pPr>
            <w:r/>
            <w:r>
              <w:rPr>
                <w:i/>
              </w:rPr>
              <w:t>[Survey/Habitat map to be inserted]</w:t>
            </w:r>
          </w:p>
        </w:tc>
      </w:tr>
    </w:tbl>
    <w:p>
      <w:r>
        <w:br w:type="page"/>
      </w:r>
    </w:p>
    <w:p>
      <w:r>
        <w:rPr>
          <w:b/>
          <w:color w:val="2D5A27"/>
          <w:sz w:val="28"/>
        </w:rPr>
        <w:t>Appendix 2: Location Map</w:t>
      </w:r>
    </w:p>
    <w:tbl>
      <w:tblPr>
        <w:tblStyle w:val="TableGrid"/>
        <w:tblW w:type="auto" w:w="0"/>
        <w:tblLook w:firstColumn="1" w:firstRow="1" w:lastColumn="0" w:lastRow="0" w:noHBand="0" w:noVBand="1" w:val="04A0"/>
      </w:tblPr>
      <w:tblGrid>
        <w:gridCol w:w="9026"/>
      </w:tblGrid>
      <w:tr>
        <w:tc>
          <w:tcPr>
            <w:tcW w:type="dxa" w:w="9026"/>
            <w:shd w:val="clear" w:color="auto" w:fill="E8F5E9"/>
          </w:tcPr>
          <w:p>
            <w:pPr>
              <w:jc w:val="center"/>
            </w:pPr>
            <w:r/>
            <w:r>
              <w:rPr>
                <w:i/>
              </w:rPr>
              <w:t>[Location map to be inserted]</w:t>
            </w:r>
          </w:p>
        </w:tc>
      </w:tr>
    </w:tbl>
    <w:p>
      <w:r>
        <w:br w:type="page"/>
      </w:r>
    </w:p>
    <w:p>
      <w:r>
        <w:rPr>
          <w:b/>
          <w:color w:val="2D5A27"/>
          <w:sz w:val="28"/>
        </w:rPr>
        <w:t>Appendix 3: Proposed Plan</w:t>
      </w:r>
    </w:p>
    <w:tbl>
      <w:tblPr>
        <w:tblStyle w:val="TableGrid"/>
        <w:tblW w:type="auto" w:w="0"/>
        <w:tblLook w:firstColumn="1" w:firstRow="1" w:lastColumn="0" w:lastRow="0" w:noHBand="0" w:noVBand="1" w:val="04A0"/>
      </w:tblPr>
      <w:tblGrid>
        <w:gridCol w:w="9026"/>
      </w:tblGrid>
      <w:tr>
        <w:tc>
          <w:tcPr>
            <w:tcW w:type="dxa" w:w="9026"/>
            <w:shd w:val="clear" w:color="auto" w:fill="E8F5E9"/>
          </w:tcPr>
          <w:p>
            <w:pPr>
              <w:jc w:val="center"/>
            </w:pPr>
            <w:r/>
            <w:r>
              <w:rPr>
                <w:i/>
              </w:rPr>
              <w:t>[Proposed plan to be inserted]</w:t>
            </w:r>
          </w:p>
        </w:tc>
      </w:tr>
    </w:tbl>
    <w:p>
      <w:r>
        <w:br w:type="page"/>
      </w:r>
    </w:p>
    <w:p>
      <w:r>
        <w:rPr>
          <w:b/>
          <w:color w:val="2D5A27"/>
          <w:sz w:val="28"/>
        </w:rPr>
        <w:t>Appendix 4: Photos</w:t>
      </w:r>
    </w:p>
    <w:tbl>
      <w:tblPr>
        <w:tblStyle w:val="TableGrid"/>
        <w:tblW w:type="auto" w:w="0"/>
        <w:tblLook w:firstColumn="1" w:firstRow="1" w:lastColumn="0" w:lastRow="0" w:noHBand="0" w:noVBand="1" w:val="04A0"/>
      </w:tblPr>
      <w:tblGrid>
        <w:gridCol w:w="4513"/>
        <w:gridCol w:w="4513"/>
      </w:tblGrid>
      <w:tr>
        <w:tc>
          <w:tcPr>
            <w:tcW w:type="dxa" w:w="4513"/>
            <w:shd w:val="clear" w:color="auto" w:fill="2D5A27"/>
          </w:tcPr>
          <w:p>
            <w:r/>
            <w:r>
              <w:rPr>
                <w:b/>
                <w:color w:val="FFFFFF"/>
              </w:rPr>
              <w:t>Photograph</w:t>
            </w:r>
          </w:p>
        </w:tc>
        <w:tc>
          <w:tcPr>
            <w:tcW w:type="dxa" w:w="4513"/>
            <w:shd w:val="clear" w:color="auto" w:fill="2D5A27"/>
          </w:tcPr>
          <w:p>
            <w:r/>
            <w:r>
              <w:rPr>
                <w:b/>
                <w:color w:val="FFFFFF"/>
              </w:rPr>
              <w:t>Description</w:t>
            </w:r>
          </w:p>
        </w:tc>
      </w:tr>
    </w:tbl>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jc w:val="left"/>
    </w:pPr>
    <w:r/>
    <w:r>
      <w:rPr>
        <w:sz w:val="16"/>
      </w:rPr>
      <w:t>Greenlight Ecology Ltd</w:t>
    </w:r>
    <w:r>
      <w:tab/>
    </w:r>
    <w:r>
      <w:rPr>
        <w:sz w:val="16"/>
      </w:rPr>
      <w:t xml:space="preserve">GPage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