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FBB47" w14:textId="2C413922" w:rsidR="00BE44BE" w:rsidRPr="00F55271" w:rsidRDefault="00BE44BE" w:rsidP="00BE44BE">
      <w:pPr>
        <w:spacing w:after="0" w:line="240" w:lineRule="auto"/>
        <w:contextualSpacing/>
        <w:rPr>
          <w:rFonts w:ascii="Arial" w:hAnsi="Arial" w:cs="Arial"/>
          <w:b/>
          <w:bCs/>
        </w:rPr>
      </w:pPr>
      <w:r w:rsidRPr="00F55271">
        <w:rPr>
          <w:rFonts w:ascii="Arial" w:hAnsi="Arial" w:cs="Arial"/>
          <w:b/>
          <w:bCs/>
        </w:rPr>
        <w:t>Opioid use disorder algorithm iterations</w:t>
      </w:r>
      <w:r w:rsidR="00176E68">
        <w:rPr>
          <w:rFonts w:ascii="Arial" w:hAnsi="Arial" w:cs="Arial"/>
          <w:b/>
          <w:bCs/>
        </w:rPr>
        <w:t xml:space="preserve"> and</w:t>
      </w:r>
      <w:r w:rsidRPr="00F55271">
        <w:rPr>
          <w:rFonts w:ascii="Arial" w:hAnsi="Arial" w:cs="Arial"/>
          <w:b/>
          <w:bCs/>
        </w:rPr>
        <w:t xml:space="preserve"> definitions</w:t>
      </w:r>
    </w:p>
    <w:tbl>
      <w:tblPr>
        <w:tblStyle w:val="TableGrid"/>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0260"/>
      </w:tblGrid>
      <w:tr w:rsidR="00EF2DDC" w:rsidRPr="003F6C51" w14:paraId="5261A5C2" w14:textId="77777777" w:rsidTr="00EF2DDC">
        <w:trPr>
          <w:trHeight w:val="181"/>
        </w:trPr>
        <w:tc>
          <w:tcPr>
            <w:tcW w:w="1170" w:type="dxa"/>
            <w:tcBorders>
              <w:top w:val="single" w:sz="4" w:space="0" w:color="auto"/>
              <w:bottom w:val="single" w:sz="4" w:space="0" w:color="auto"/>
            </w:tcBorders>
            <w:shd w:val="clear" w:color="auto" w:fill="auto"/>
            <w:vAlign w:val="center"/>
          </w:tcPr>
          <w:p w14:paraId="523063F1" w14:textId="77777777" w:rsidR="00EF2DDC" w:rsidRPr="00F6580A" w:rsidRDefault="00EF2DDC" w:rsidP="00920809">
            <w:pPr>
              <w:widowControl w:val="0"/>
              <w:tabs>
                <w:tab w:val="left" w:pos="360"/>
              </w:tabs>
              <w:rPr>
                <w:rFonts w:ascii="Arial" w:hAnsi="Arial" w:cs="Arial"/>
                <w:b/>
                <w:bCs/>
              </w:rPr>
            </w:pPr>
            <w:r w:rsidRPr="00F6580A">
              <w:rPr>
                <w:rFonts w:ascii="Arial" w:hAnsi="Arial" w:cs="Arial"/>
                <w:b/>
                <w:bCs/>
              </w:rPr>
              <w:t>Iteration</w:t>
            </w:r>
          </w:p>
        </w:tc>
        <w:tc>
          <w:tcPr>
            <w:tcW w:w="10260" w:type="dxa"/>
            <w:tcBorders>
              <w:top w:val="single" w:sz="4" w:space="0" w:color="auto"/>
              <w:bottom w:val="single" w:sz="4" w:space="0" w:color="auto"/>
            </w:tcBorders>
            <w:shd w:val="clear" w:color="auto" w:fill="auto"/>
            <w:vAlign w:val="center"/>
          </w:tcPr>
          <w:p w14:paraId="5D0376C0" w14:textId="77777777" w:rsidR="00EF2DDC" w:rsidRPr="00F6580A" w:rsidRDefault="00EF2DDC" w:rsidP="00920809">
            <w:pPr>
              <w:widowControl w:val="0"/>
              <w:tabs>
                <w:tab w:val="left" w:pos="360"/>
              </w:tabs>
              <w:rPr>
                <w:rFonts w:ascii="Arial" w:hAnsi="Arial" w:cs="Arial"/>
                <w:b/>
                <w:bCs/>
              </w:rPr>
            </w:pPr>
            <w:r w:rsidRPr="00F6580A">
              <w:rPr>
                <w:rFonts w:ascii="Arial" w:hAnsi="Arial" w:cs="Arial"/>
                <w:b/>
                <w:bCs/>
              </w:rPr>
              <w:t>Criteria</w:t>
            </w:r>
          </w:p>
        </w:tc>
      </w:tr>
      <w:tr w:rsidR="00EF2DDC" w:rsidRPr="003F6C51" w14:paraId="7EFF6361" w14:textId="77777777" w:rsidTr="00EF2DDC">
        <w:trPr>
          <w:trHeight w:val="204"/>
        </w:trPr>
        <w:tc>
          <w:tcPr>
            <w:tcW w:w="1170" w:type="dxa"/>
            <w:tcBorders>
              <w:top w:val="single" w:sz="4" w:space="0" w:color="auto"/>
            </w:tcBorders>
            <w:shd w:val="clear" w:color="auto" w:fill="auto"/>
            <w:vAlign w:val="center"/>
          </w:tcPr>
          <w:p w14:paraId="0720E8A2" w14:textId="77777777" w:rsidR="00EF2DDC" w:rsidRPr="00F6580A" w:rsidRDefault="00EF2DDC" w:rsidP="00920809">
            <w:pPr>
              <w:widowControl w:val="0"/>
              <w:tabs>
                <w:tab w:val="left" w:pos="360"/>
              </w:tabs>
              <w:rPr>
                <w:rFonts w:ascii="Arial" w:hAnsi="Arial" w:cs="Arial"/>
              </w:rPr>
            </w:pPr>
            <w:r w:rsidRPr="00F6580A">
              <w:rPr>
                <w:rFonts w:ascii="Arial" w:hAnsi="Arial" w:cs="Arial"/>
              </w:rPr>
              <w:t>1</w:t>
            </w:r>
          </w:p>
        </w:tc>
        <w:tc>
          <w:tcPr>
            <w:tcW w:w="10260" w:type="dxa"/>
            <w:tcBorders>
              <w:top w:val="single" w:sz="4" w:space="0" w:color="auto"/>
            </w:tcBorders>
            <w:shd w:val="clear" w:color="auto" w:fill="auto"/>
            <w:vAlign w:val="center"/>
          </w:tcPr>
          <w:p w14:paraId="71FE93F5" w14:textId="77777777" w:rsidR="00EF2DDC" w:rsidRPr="00F6580A" w:rsidRDefault="00EF2DDC" w:rsidP="00920809">
            <w:pPr>
              <w:widowControl w:val="0"/>
              <w:tabs>
                <w:tab w:val="left" w:pos="360"/>
              </w:tabs>
              <w:rPr>
                <w:rFonts w:ascii="Arial" w:hAnsi="Arial" w:cs="Arial"/>
              </w:rPr>
            </w:pPr>
            <w:r w:rsidRPr="00F6580A">
              <w:rPr>
                <w:rFonts w:ascii="Arial" w:hAnsi="Arial" w:cs="Arial"/>
              </w:rPr>
              <w:t>Any of: A, B, C, D, E</w:t>
            </w:r>
          </w:p>
        </w:tc>
      </w:tr>
      <w:tr w:rsidR="00EF2DDC" w:rsidRPr="003F6C51" w14:paraId="1CECBE76" w14:textId="77777777" w:rsidTr="00EF2DDC">
        <w:trPr>
          <w:trHeight w:val="256"/>
        </w:trPr>
        <w:tc>
          <w:tcPr>
            <w:tcW w:w="1170" w:type="dxa"/>
            <w:shd w:val="clear" w:color="auto" w:fill="auto"/>
            <w:vAlign w:val="center"/>
          </w:tcPr>
          <w:p w14:paraId="1F3D86CB" w14:textId="77777777" w:rsidR="00EF2DDC" w:rsidRPr="00F6580A" w:rsidRDefault="00EF2DDC" w:rsidP="00920809">
            <w:pPr>
              <w:widowControl w:val="0"/>
              <w:tabs>
                <w:tab w:val="left" w:pos="360"/>
              </w:tabs>
              <w:spacing w:before="60"/>
              <w:rPr>
                <w:rFonts w:ascii="Arial" w:hAnsi="Arial" w:cs="Arial"/>
              </w:rPr>
            </w:pPr>
            <w:r w:rsidRPr="00F6580A">
              <w:rPr>
                <w:rFonts w:ascii="Arial" w:hAnsi="Arial" w:cs="Arial"/>
              </w:rPr>
              <w:t>2</w:t>
            </w:r>
            <w:r w:rsidRPr="002430A3">
              <w:rPr>
                <w:rFonts w:ascii="Arial" w:hAnsi="Arial" w:cs="Arial"/>
              </w:rPr>
              <w:t>*</w:t>
            </w:r>
          </w:p>
        </w:tc>
        <w:tc>
          <w:tcPr>
            <w:tcW w:w="10260" w:type="dxa"/>
            <w:shd w:val="clear" w:color="auto" w:fill="auto"/>
            <w:vAlign w:val="center"/>
          </w:tcPr>
          <w:p w14:paraId="4F985E3B" w14:textId="77777777" w:rsidR="00EF2DDC" w:rsidRPr="00F6580A" w:rsidRDefault="00EF2DDC" w:rsidP="00920809">
            <w:pPr>
              <w:widowControl w:val="0"/>
              <w:tabs>
                <w:tab w:val="left" w:pos="360"/>
              </w:tabs>
              <w:spacing w:before="60"/>
              <w:rPr>
                <w:rFonts w:ascii="Arial" w:hAnsi="Arial" w:cs="Arial"/>
              </w:rPr>
            </w:pPr>
            <w:r w:rsidRPr="00F6580A">
              <w:rPr>
                <w:rFonts w:ascii="Arial" w:hAnsi="Arial" w:cs="Arial"/>
              </w:rPr>
              <w:t>Any of: A, B, C, D, E</w:t>
            </w:r>
          </w:p>
        </w:tc>
      </w:tr>
      <w:tr w:rsidR="00EF2DDC" w:rsidRPr="003F6C51" w14:paraId="38999C40" w14:textId="77777777" w:rsidTr="00EF2DDC">
        <w:trPr>
          <w:trHeight w:val="315"/>
        </w:trPr>
        <w:tc>
          <w:tcPr>
            <w:tcW w:w="1170" w:type="dxa"/>
            <w:shd w:val="clear" w:color="auto" w:fill="auto"/>
            <w:vAlign w:val="center"/>
          </w:tcPr>
          <w:p w14:paraId="61C4748A" w14:textId="77777777" w:rsidR="00EF2DDC" w:rsidRPr="00F6580A" w:rsidRDefault="00EF2DDC" w:rsidP="00920809">
            <w:pPr>
              <w:widowControl w:val="0"/>
              <w:tabs>
                <w:tab w:val="left" w:pos="360"/>
              </w:tabs>
              <w:spacing w:before="60"/>
              <w:rPr>
                <w:rFonts w:ascii="Arial" w:hAnsi="Arial" w:cs="Arial"/>
              </w:rPr>
            </w:pPr>
            <w:r w:rsidRPr="00F6580A">
              <w:rPr>
                <w:rFonts w:ascii="Arial" w:hAnsi="Arial" w:cs="Arial"/>
              </w:rPr>
              <w:t>3</w:t>
            </w:r>
          </w:p>
        </w:tc>
        <w:tc>
          <w:tcPr>
            <w:tcW w:w="10260" w:type="dxa"/>
            <w:shd w:val="clear" w:color="auto" w:fill="auto"/>
            <w:vAlign w:val="center"/>
          </w:tcPr>
          <w:p w14:paraId="4D6C31AA" w14:textId="77777777" w:rsidR="00EF2DDC" w:rsidRPr="00F6580A" w:rsidRDefault="00EF2DDC" w:rsidP="00920809">
            <w:pPr>
              <w:widowControl w:val="0"/>
              <w:tabs>
                <w:tab w:val="left" w:pos="360"/>
              </w:tabs>
              <w:spacing w:before="60"/>
              <w:rPr>
                <w:rFonts w:ascii="Arial" w:hAnsi="Arial" w:cs="Arial"/>
              </w:rPr>
            </w:pPr>
            <w:r w:rsidRPr="00F6580A">
              <w:rPr>
                <w:rFonts w:ascii="Arial" w:hAnsi="Arial" w:cs="Arial"/>
              </w:rPr>
              <w:t>Any of: A, D, F, G</w:t>
            </w:r>
            <w:r>
              <w:rPr>
                <w:rFonts w:ascii="Arial" w:hAnsi="Arial" w:cs="Arial"/>
              </w:rPr>
              <w:t>, H</w:t>
            </w:r>
          </w:p>
        </w:tc>
      </w:tr>
      <w:tr w:rsidR="00EF2DDC" w:rsidRPr="003F6C51" w14:paraId="1AF511AA" w14:textId="77777777" w:rsidTr="00EF2DDC">
        <w:trPr>
          <w:trHeight w:val="265"/>
        </w:trPr>
        <w:tc>
          <w:tcPr>
            <w:tcW w:w="1170" w:type="dxa"/>
            <w:shd w:val="clear" w:color="auto" w:fill="auto"/>
            <w:vAlign w:val="center"/>
          </w:tcPr>
          <w:p w14:paraId="1BE1EA6E" w14:textId="77777777" w:rsidR="00EF2DDC" w:rsidRPr="002430A3" w:rsidRDefault="00EF2DDC" w:rsidP="00920809">
            <w:pPr>
              <w:widowControl w:val="0"/>
              <w:tabs>
                <w:tab w:val="left" w:pos="360"/>
              </w:tabs>
              <w:spacing w:before="60"/>
              <w:rPr>
                <w:rFonts w:ascii="Arial" w:hAnsi="Arial" w:cs="Arial"/>
              </w:rPr>
            </w:pPr>
            <w:r w:rsidRPr="00F6580A">
              <w:rPr>
                <w:rFonts w:ascii="Arial" w:hAnsi="Arial" w:cs="Arial"/>
              </w:rPr>
              <w:t>4</w:t>
            </w:r>
            <w:r>
              <w:rPr>
                <w:rFonts w:ascii="Arial" w:hAnsi="Arial" w:cs="Arial"/>
              </w:rPr>
              <w:t>**</w:t>
            </w:r>
          </w:p>
        </w:tc>
        <w:tc>
          <w:tcPr>
            <w:tcW w:w="10260" w:type="dxa"/>
            <w:shd w:val="clear" w:color="auto" w:fill="auto"/>
            <w:vAlign w:val="center"/>
          </w:tcPr>
          <w:p w14:paraId="1201CE42" w14:textId="77777777" w:rsidR="00EF2DDC" w:rsidRPr="00F6580A" w:rsidRDefault="00EF2DDC" w:rsidP="00920809">
            <w:pPr>
              <w:widowControl w:val="0"/>
              <w:tabs>
                <w:tab w:val="left" w:pos="360"/>
              </w:tabs>
              <w:spacing w:before="60"/>
              <w:rPr>
                <w:rFonts w:ascii="Arial" w:hAnsi="Arial" w:cs="Arial"/>
              </w:rPr>
            </w:pPr>
            <w:r w:rsidRPr="00F6580A">
              <w:rPr>
                <w:rFonts w:ascii="Arial" w:hAnsi="Arial" w:cs="Arial"/>
              </w:rPr>
              <w:t xml:space="preserve">Any of: </w:t>
            </w:r>
            <w:r>
              <w:rPr>
                <w:rFonts w:ascii="Arial" w:hAnsi="Arial" w:cs="Arial"/>
              </w:rPr>
              <w:t>A, D, F, G, I</w:t>
            </w:r>
          </w:p>
        </w:tc>
      </w:tr>
      <w:tr w:rsidR="00BE44BE" w:rsidRPr="003F6C51" w14:paraId="288F6D40" w14:textId="77777777" w:rsidTr="00920809">
        <w:trPr>
          <w:trHeight w:val="241"/>
        </w:trPr>
        <w:tc>
          <w:tcPr>
            <w:tcW w:w="11430" w:type="dxa"/>
            <w:gridSpan w:val="2"/>
            <w:tcBorders>
              <w:top w:val="single" w:sz="4" w:space="0" w:color="auto"/>
              <w:bottom w:val="single" w:sz="4" w:space="0" w:color="auto"/>
            </w:tcBorders>
          </w:tcPr>
          <w:p w14:paraId="04DC4F83" w14:textId="77777777" w:rsidR="00BE44BE" w:rsidRPr="00F6580A" w:rsidRDefault="00BE44BE" w:rsidP="00BE44BE">
            <w:pPr>
              <w:pStyle w:val="ListParagraph"/>
              <w:widowControl w:val="0"/>
              <w:numPr>
                <w:ilvl w:val="0"/>
                <w:numId w:val="1"/>
              </w:numPr>
              <w:tabs>
                <w:tab w:val="left" w:pos="360"/>
              </w:tabs>
              <w:spacing w:before="60" w:after="60"/>
              <w:rPr>
                <w:rFonts w:ascii="Arial" w:hAnsi="Arial" w:cs="Arial"/>
              </w:rPr>
            </w:pPr>
            <w:r w:rsidRPr="00F6580A">
              <w:rPr>
                <w:rFonts w:ascii="Arial" w:hAnsi="Arial" w:cs="Arial"/>
              </w:rPr>
              <w:t>ICD9/10 codes for abuse/ dependence</w:t>
            </w:r>
          </w:p>
          <w:p w14:paraId="12E2F509" w14:textId="77777777" w:rsidR="00BE44BE" w:rsidRPr="00F6580A" w:rsidRDefault="00BE44BE" w:rsidP="00BE44BE">
            <w:pPr>
              <w:pStyle w:val="ListParagraph"/>
              <w:widowControl w:val="0"/>
              <w:numPr>
                <w:ilvl w:val="0"/>
                <w:numId w:val="1"/>
              </w:numPr>
              <w:tabs>
                <w:tab w:val="left" w:pos="360"/>
              </w:tabs>
              <w:spacing w:before="60" w:after="60"/>
              <w:rPr>
                <w:rFonts w:ascii="Arial" w:hAnsi="Arial" w:cs="Arial"/>
              </w:rPr>
            </w:pPr>
            <w:r w:rsidRPr="00F6580A">
              <w:rPr>
                <w:rFonts w:ascii="Arial" w:hAnsi="Arial" w:cs="Arial"/>
              </w:rPr>
              <w:t>transition to buprenorphine, methadone, and naltrexone that were prescribed to treat OUD or co-prescription of Naloxone to prevent overdose</w:t>
            </w:r>
          </w:p>
          <w:p w14:paraId="27DF26B3" w14:textId="77777777" w:rsidR="00BE44BE" w:rsidRPr="00F6580A" w:rsidRDefault="00BE44BE" w:rsidP="00BE44BE">
            <w:pPr>
              <w:pStyle w:val="ListParagraph"/>
              <w:widowControl w:val="0"/>
              <w:numPr>
                <w:ilvl w:val="0"/>
                <w:numId w:val="1"/>
              </w:numPr>
              <w:tabs>
                <w:tab w:val="left" w:pos="360"/>
              </w:tabs>
              <w:spacing w:before="60" w:after="60"/>
              <w:rPr>
                <w:rFonts w:ascii="Arial" w:hAnsi="Arial" w:cs="Arial"/>
              </w:rPr>
            </w:pPr>
            <w:r w:rsidRPr="00F6580A">
              <w:rPr>
                <w:rFonts w:ascii="Arial" w:hAnsi="Arial" w:cs="Arial"/>
              </w:rPr>
              <w:t>≥50 MME of opioids for ≥180 days</w:t>
            </w:r>
          </w:p>
          <w:p w14:paraId="36DC5EFE" w14:textId="77777777" w:rsidR="00BE44BE" w:rsidRPr="00F6580A" w:rsidRDefault="00BE44BE" w:rsidP="00BE44BE">
            <w:pPr>
              <w:pStyle w:val="ListParagraph"/>
              <w:widowControl w:val="0"/>
              <w:numPr>
                <w:ilvl w:val="0"/>
                <w:numId w:val="1"/>
              </w:numPr>
              <w:tabs>
                <w:tab w:val="left" w:pos="360"/>
              </w:tabs>
              <w:spacing w:before="60" w:after="60"/>
              <w:rPr>
                <w:rFonts w:ascii="Arial" w:hAnsi="Arial" w:cs="Arial"/>
              </w:rPr>
            </w:pPr>
            <w:r w:rsidRPr="00F6580A">
              <w:rPr>
                <w:rFonts w:ascii="Arial" w:hAnsi="Arial" w:cs="Arial"/>
              </w:rPr>
              <w:t>procedure codes for Medication Assisted Treatment for OUD</w:t>
            </w:r>
          </w:p>
          <w:p w14:paraId="3F35186E" w14:textId="77777777" w:rsidR="00BE44BE" w:rsidRPr="00F6580A" w:rsidRDefault="00BE44BE" w:rsidP="00BE44BE">
            <w:pPr>
              <w:pStyle w:val="ListParagraph"/>
              <w:widowControl w:val="0"/>
              <w:numPr>
                <w:ilvl w:val="0"/>
                <w:numId w:val="1"/>
              </w:numPr>
              <w:tabs>
                <w:tab w:val="left" w:pos="360"/>
              </w:tabs>
              <w:spacing w:before="60" w:after="60"/>
              <w:rPr>
                <w:rFonts w:ascii="Arial" w:hAnsi="Arial" w:cs="Arial"/>
              </w:rPr>
            </w:pPr>
            <w:r w:rsidRPr="00F6580A">
              <w:rPr>
                <w:rFonts w:ascii="Arial" w:hAnsi="Arial" w:cs="Arial"/>
              </w:rPr>
              <w:t>≥1 overdose event</w:t>
            </w:r>
            <w:r>
              <w:rPr>
                <w:rFonts w:ascii="Arial" w:hAnsi="Arial" w:cs="Arial"/>
              </w:rPr>
              <w:t xml:space="preserve"> during the study period</w:t>
            </w:r>
          </w:p>
          <w:p w14:paraId="72F70BD9" w14:textId="77777777" w:rsidR="00BE44BE" w:rsidRPr="00F6580A" w:rsidRDefault="00BE44BE" w:rsidP="00BE44BE">
            <w:pPr>
              <w:pStyle w:val="ListParagraph"/>
              <w:widowControl w:val="0"/>
              <w:numPr>
                <w:ilvl w:val="0"/>
                <w:numId w:val="1"/>
              </w:numPr>
              <w:tabs>
                <w:tab w:val="left" w:pos="360"/>
              </w:tabs>
              <w:spacing w:before="60" w:after="60"/>
              <w:rPr>
                <w:rFonts w:ascii="Arial" w:hAnsi="Arial" w:cs="Arial"/>
              </w:rPr>
            </w:pPr>
            <w:r w:rsidRPr="00F6580A">
              <w:rPr>
                <w:rFonts w:ascii="Arial" w:hAnsi="Arial" w:cs="Arial"/>
              </w:rPr>
              <w:t>≥90 MME of opioids for ≥180 days</w:t>
            </w:r>
          </w:p>
          <w:p w14:paraId="0A8E8683" w14:textId="77777777" w:rsidR="00BE44BE" w:rsidRDefault="00BE44BE" w:rsidP="00BE44BE">
            <w:pPr>
              <w:pStyle w:val="ListParagraph"/>
              <w:widowControl w:val="0"/>
              <w:numPr>
                <w:ilvl w:val="0"/>
                <w:numId w:val="1"/>
              </w:numPr>
              <w:tabs>
                <w:tab w:val="left" w:pos="360"/>
              </w:tabs>
              <w:spacing w:before="60" w:after="60"/>
              <w:rPr>
                <w:rFonts w:ascii="Arial" w:hAnsi="Arial" w:cs="Arial"/>
              </w:rPr>
            </w:pPr>
            <w:r>
              <w:rPr>
                <w:rFonts w:ascii="Arial" w:hAnsi="Arial" w:cs="Arial"/>
              </w:rPr>
              <w:t>‘B’+’E’</w:t>
            </w:r>
          </w:p>
          <w:p w14:paraId="18CAFAAD" w14:textId="77777777" w:rsidR="00BE44BE" w:rsidRDefault="00BE44BE" w:rsidP="00BE44BE">
            <w:pPr>
              <w:pStyle w:val="ListParagraph"/>
              <w:widowControl w:val="0"/>
              <w:numPr>
                <w:ilvl w:val="0"/>
                <w:numId w:val="1"/>
              </w:numPr>
              <w:tabs>
                <w:tab w:val="left" w:pos="360"/>
              </w:tabs>
              <w:spacing w:before="60" w:after="60"/>
              <w:rPr>
                <w:rFonts w:ascii="Arial" w:hAnsi="Arial" w:cs="Arial"/>
              </w:rPr>
            </w:pPr>
            <w:r w:rsidRPr="002430A3">
              <w:rPr>
                <w:rFonts w:ascii="Arial" w:hAnsi="Arial" w:cs="Arial"/>
              </w:rPr>
              <w:t>3+ ED visits with opioid RX in 30</w:t>
            </w:r>
            <w:r>
              <w:rPr>
                <w:rFonts w:ascii="Arial" w:hAnsi="Arial" w:cs="Arial"/>
              </w:rPr>
              <w:t>-</w:t>
            </w:r>
            <w:r w:rsidRPr="002430A3">
              <w:rPr>
                <w:rFonts w:ascii="Arial" w:hAnsi="Arial" w:cs="Arial"/>
              </w:rPr>
              <w:t>day window</w:t>
            </w:r>
            <w:r>
              <w:rPr>
                <w:rFonts w:ascii="Arial" w:hAnsi="Arial" w:cs="Arial"/>
              </w:rPr>
              <w:t xml:space="preserve"> </w:t>
            </w:r>
          </w:p>
          <w:p w14:paraId="3DFF8355" w14:textId="77777777" w:rsidR="00BE44BE" w:rsidRPr="002430A3" w:rsidRDefault="00BE44BE" w:rsidP="00BE44BE">
            <w:pPr>
              <w:pStyle w:val="ListParagraph"/>
              <w:widowControl w:val="0"/>
              <w:numPr>
                <w:ilvl w:val="0"/>
                <w:numId w:val="1"/>
              </w:numPr>
              <w:tabs>
                <w:tab w:val="left" w:pos="360"/>
              </w:tabs>
              <w:spacing w:before="60" w:after="60"/>
              <w:rPr>
                <w:rFonts w:ascii="Arial" w:hAnsi="Arial" w:cs="Arial"/>
              </w:rPr>
            </w:pPr>
            <w:r>
              <w:rPr>
                <w:rFonts w:ascii="Arial" w:hAnsi="Arial" w:cs="Arial"/>
              </w:rPr>
              <w:t xml:space="preserve">‘H,’ excluding </w:t>
            </w:r>
            <w:r w:rsidRPr="002430A3">
              <w:rPr>
                <w:rFonts w:ascii="Arial" w:hAnsi="Arial" w:cs="Arial"/>
              </w:rPr>
              <w:t>ED visits where surgery was performed up to two weeks before visit</w:t>
            </w:r>
          </w:p>
          <w:p w14:paraId="0E5E2E78" w14:textId="77777777" w:rsidR="00BE44BE" w:rsidRDefault="00BE44BE" w:rsidP="00920809">
            <w:pPr>
              <w:pStyle w:val="ListParagraph"/>
              <w:widowControl w:val="0"/>
              <w:tabs>
                <w:tab w:val="left" w:pos="360"/>
              </w:tabs>
              <w:spacing w:before="60" w:after="60"/>
              <w:rPr>
                <w:rFonts w:ascii="Arial" w:hAnsi="Arial" w:cs="Arial"/>
              </w:rPr>
            </w:pPr>
            <w:r>
              <w:rPr>
                <w:rFonts w:ascii="Arial" w:hAnsi="Arial" w:cs="Arial"/>
              </w:rPr>
              <w:t>* - iteration 2 had the same criteria as iteration 1, except we that in iteration 2, we provided additional instructions to the expert adjudication panel that all abstraction should be restricted to the years 2014-2017 only.</w:t>
            </w:r>
          </w:p>
          <w:p w14:paraId="4E297C39" w14:textId="77777777" w:rsidR="00BE44BE" w:rsidRPr="00F6580A" w:rsidRDefault="00BE44BE" w:rsidP="00920809">
            <w:pPr>
              <w:pStyle w:val="ListParagraph"/>
              <w:widowControl w:val="0"/>
              <w:tabs>
                <w:tab w:val="left" w:pos="360"/>
              </w:tabs>
              <w:spacing w:before="60" w:after="60"/>
              <w:rPr>
                <w:rFonts w:ascii="Arial" w:hAnsi="Arial" w:cs="Arial"/>
              </w:rPr>
            </w:pPr>
            <w:r>
              <w:rPr>
                <w:rFonts w:ascii="Arial" w:hAnsi="Arial" w:cs="Arial"/>
              </w:rPr>
              <w:t xml:space="preserve">** - </w:t>
            </w:r>
            <w:r w:rsidRPr="002430A3">
              <w:rPr>
                <w:rFonts w:ascii="Arial" w:hAnsi="Arial" w:cs="Arial"/>
              </w:rPr>
              <w:t>Exclude</w:t>
            </w:r>
            <w:r>
              <w:rPr>
                <w:rFonts w:ascii="Arial" w:hAnsi="Arial" w:cs="Arial"/>
              </w:rPr>
              <w:t>s</w:t>
            </w:r>
            <w:r w:rsidRPr="002430A3">
              <w:rPr>
                <w:rFonts w:ascii="Arial" w:hAnsi="Arial" w:cs="Arial"/>
              </w:rPr>
              <w:t xml:space="preserve"> patients receiving medications </w:t>
            </w:r>
            <w:r>
              <w:rPr>
                <w:rFonts w:ascii="Arial" w:hAnsi="Arial" w:cs="Arial"/>
              </w:rPr>
              <w:t xml:space="preserve">for metastatic cancers </w:t>
            </w:r>
            <w:r w:rsidRPr="002430A3">
              <w:rPr>
                <w:rFonts w:ascii="Arial" w:hAnsi="Arial" w:cs="Arial"/>
              </w:rPr>
              <w:t xml:space="preserve">or </w:t>
            </w:r>
            <w:r>
              <w:rPr>
                <w:rFonts w:ascii="Arial" w:hAnsi="Arial" w:cs="Arial"/>
              </w:rPr>
              <w:t xml:space="preserve">have cancer </w:t>
            </w:r>
            <w:r w:rsidRPr="002430A3">
              <w:rPr>
                <w:rFonts w:ascii="Arial" w:hAnsi="Arial" w:cs="Arial"/>
              </w:rPr>
              <w:t>diagnoses</w:t>
            </w:r>
          </w:p>
        </w:tc>
      </w:tr>
    </w:tbl>
    <w:p w14:paraId="63577F3F" w14:textId="77777777" w:rsidR="00BE44BE" w:rsidRDefault="00BE44BE"/>
    <w:sectPr w:rsidR="00BE44BE" w:rsidSect="00BE44B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465C3"/>
    <w:multiLevelType w:val="hybridMultilevel"/>
    <w:tmpl w:val="C11CC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BE"/>
    <w:rsid w:val="00176E68"/>
    <w:rsid w:val="00366ED8"/>
    <w:rsid w:val="00BE44BE"/>
    <w:rsid w:val="00EF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F136"/>
  <w15:chartTrackingRefBased/>
  <w15:docId w15:val="{73C96126-1924-4260-A6B1-7834AD7C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4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Ranapurwala, Shabbar I</dc:creator>
  <cp:keywords/>
  <dc:description/>
  <cp:lastModifiedBy>Ranapurwala, Shabbar I</cp:lastModifiedBy>
  <cp:revision>3</cp:revision>
  <dcterms:created xsi:type="dcterms:W3CDTF">2021-08-19T14:50:00Z</dcterms:created>
  <dcterms:modified xsi:type="dcterms:W3CDTF">2021-08-19T17:31:00Z</dcterms:modified>
</cp:coreProperties>
</file>