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Calibri" w:cs="Calibri" w:eastAsia="Calibri" w:hAnsi="Calibri"/>
          <w:color w:val="1155cc"/>
          <w:highlight w:val="white"/>
          <w:u w:val="single"/>
        </w:rPr>
      </w:pPr>
      <w:r w:rsidDel="00000000" w:rsidR="00000000" w:rsidRPr="00000000">
        <w:fldChar w:fldCharType="begin"/>
        <w:instrText xml:space="preserve"> HYPERLINK "https://indexes.nasdaqomx.com/Home/Global" </w:instrText>
        <w:fldChar w:fldCharType="separate"/>
      </w:r>
      <w:r w:rsidDel="00000000" w:rsidR="00000000" w:rsidRPr="00000000">
        <w:rPr>
          <w:rFonts w:ascii="Calibri" w:cs="Calibri" w:eastAsia="Calibri" w:hAnsi="Calibri"/>
          <w:color w:val="1155cc"/>
          <w:highlight w:val="white"/>
          <w:u w:val="single"/>
          <w:rtl w:val="0"/>
        </w:rPr>
        <w:t xml:space="preserve">https://indexes.nasdaqomx.com/Home/Global</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Calibri" w:cs="Calibri" w:eastAsia="Calibri" w:hAnsi="Calibri"/>
          <w:color w:val="500050"/>
          <w:highlight w:val="white"/>
        </w:rPr>
      </w:pPr>
      <w:r w:rsidDel="00000000" w:rsidR="00000000" w:rsidRPr="00000000">
        <w:fldChar w:fldCharType="end"/>
      </w:r>
      <w:r w:rsidDel="00000000" w:rsidR="00000000" w:rsidRPr="00000000">
        <w:rPr>
          <w:rFonts w:ascii="Calibri" w:cs="Calibri" w:eastAsia="Calibri" w:hAnsi="Calibri"/>
          <w:color w:val="500050"/>
          <w:highlight w:val="white"/>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Calibri" w:cs="Calibri" w:eastAsia="Calibri" w:hAnsi="Calibri"/>
          <w:color w:val="500050"/>
          <w:highlight w:val="white"/>
        </w:rPr>
      </w:pPr>
      <w:r w:rsidDel="00000000" w:rsidR="00000000" w:rsidRPr="00000000">
        <w:rPr>
          <w:rFonts w:ascii="Calibri" w:cs="Calibri" w:eastAsia="Calibri" w:hAnsi="Calibri"/>
          <w:color w:val="500050"/>
          <w:highlight w:val="white"/>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Calibri" w:cs="Calibri" w:eastAsia="Calibri" w:hAnsi="Calibri"/>
          <w:color w:val="500050"/>
          <w:highlight w:val="white"/>
        </w:rPr>
      </w:pPr>
      <w:r w:rsidDel="00000000" w:rsidR="00000000" w:rsidRPr="00000000">
        <w:rPr>
          <w:rFonts w:ascii="Calibri" w:cs="Calibri" w:eastAsia="Calibri" w:hAnsi="Calibri"/>
          <w:color w:val="500050"/>
          <w:highlight w:val="white"/>
          <w:rtl w:val="0"/>
        </w:rPr>
        <w:t xml:space="preserve">R code: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#Load packages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library(RCurl)</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library(plyr)</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library(stringr)</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Nasdaq &lt;- getURL("</w:t>
      </w:r>
      <w:hyperlink r:id="rId6">
        <w:r w:rsidDel="00000000" w:rsidR="00000000" w:rsidRPr="00000000">
          <w:rPr>
            <w:rFonts w:ascii="Calibri" w:cs="Calibri" w:eastAsia="Calibri" w:hAnsi="Calibri"/>
            <w:color w:val="1155cc"/>
            <w:highlight w:val="white"/>
            <w:u w:val="single"/>
            <w:rtl w:val="0"/>
          </w:rPr>
          <w:t xml:space="preserve">https://indexes.nasdaqomx.com//docs//AppendixNQGIIndexes.csv</w:t>
        </w:r>
      </w:hyperlink>
      <w:r w:rsidDel="00000000" w:rsidR="00000000" w:rsidRPr="00000000">
        <w:rPr>
          <w:rFonts w:ascii="Calibri" w:cs="Calibri" w:eastAsia="Calibri" w:hAnsi="Calibri"/>
          <w:highlight w:val="white"/>
          <w:rtl w:val="0"/>
        </w:rPr>
        <w:t xml:space="preserve">") # URL for all nasdaq indexes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Nasdaq &lt;- as.data.frame(read.csv(textConnection(Nasdaq), header = TRUE, stringsAsFactors = FALSE)) # trasforming to dataframe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Nasdaq &lt;- subset(Nasdaq, CURRENCY == "EUR") # concentrate only on indexes in EUR</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Nasdaq &lt;- subset(Nasdaq, select = c(Price.Return.Symbol,</w:t>
      </w:r>
      <w:hyperlink r:id="rId7">
        <w:r w:rsidDel="00000000" w:rsidR="00000000" w:rsidRPr="00000000">
          <w:rPr>
            <w:rFonts w:ascii="Calibri" w:cs="Calibri" w:eastAsia="Calibri" w:hAnsi="Calibri"/>
            <w:color w:val="1155cc"/>
            <w:highlight w:val="white"/>
            <w:u w:val="single"/>
            <w:rtl w:val="0"/>
          </w:rPr>
          <w:t xml:space="preserve">INDEX.NAME</w:t>
        </w:r>
      </w:hyperlink>
      <w:r w:rsidDel="00000000" w:rsidR="00000000" w:rsidRPr="00000000">
        <w:rPr>
          <w:rFonts w:ascii="Calibri" w:cs="Calibri" w:eastAsia="Calibri" w:hAnsi="Calibri"/>
          <w:highlight w:val="white"/>
          <w:rtl w:val="0"/>
        </w:rPr>
        <w:t xml:space="preserve">)) # leaving only needed columns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Nasdaq &lt;- Nasdaq[grep("[0-9]{4}", Nasdaq$Price.Return.Symbol),] # leaving only rows, which contain 4-digit code, i.e specific sector</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Nasdaq &lt;- Nasdaq[!grepl("LMEUR", Nasdaq$Price.Return.Symbol),] # leaving only rows, which don't have "LM" in the name, i.e. no large, med small capitalization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Nasdaq &lt;- Nasdaq[!grepl(c(" Cap ","BRIC", "Europe"), Nasdaq$</w:t>
      </w:r>
      <w:hyperlink r:id="rId8">
        <w:r w:rsidDel="00000000" w:rsidR="00000000" w:rsidRPr="00000000">
          <w:rPr>
            <w:rFonts w:ascii="Calibri" w:cs="Calibri" w:eastAsia="Calibri" w:hAnsi="Calibri"/>
            <w:color w:val="1155cc"/>
            <w:highlight w:val="white"/>
            <w:u w:val="single"/>
            <w:rtl w:val="0"/>
          </w:rPr>
          <w:t xml:space="preserve">INDEX.NAME</w:t>
        </w:r>
      </w:hyperlink>
      <w:r w:rsidDel="00000000" w:rsidR="00000000" w:rsidRPr="00000000">
        <w:rPr>
          <w:rFonts w:ascii="Calibri" w:cs="Calibri" w:eastAsia="Calibri" w:hAnsi="Calibri"/>
          <w:highlight w:val="white"/>
          <w:rtl w:val="0"/>
        </w:rPr>
        <w:t xml:space="preserve">),] # leaving only rows, which don't have " Cap " in the name, i.e. no indication for capitalization (only relevant for US indexes). We need to exclude "BRIC" and "Europe" as well, as it would be difficult later</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Country_Code &lt;- substr(Nasdaq$Price.Return.Symbol, 1, 4) # exctract first 4 symbols of the index code: this is used to define countries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Sector_Code &lt;- str_extract(Nasdaq$Price.Return.Symbol, "[[:digit:]]{4}") # exctract a 4-digit code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Big_Sector &lt;- paste(substr(Sector_Code, 1, 1), # for creation of separate column for the broad sector, we need to extract 1st digit from sector...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tab/>
        <w:t xml:space="preserve">"000", Sep="") #... and add "000" to it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Big_Sector &lt;- gsub(" ", "", Big_Sector) # somehow it creates it with space =&gt; we need to remove spaces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Big_Sector &lt;- gsub("0000", "0001", Big_Sector) # Oil &amp; Gas has code 0001</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Nasdaq &lt;- cbind(Nasdaq, Country_Code, Big_Sector, Sector_Code) # now we could add 3 columns to the main database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Country_Code &lt;- c("NQJP", "NQGB", "NQCA", "NQAT", "NQBE", "NQFI", "NQFR", "NQDK", "NQDE", "NQGR", "NQIE", "NQIT", "NQNL", "NQNO", "NQES", "NQSE", "NQCH", "NQAU", "NQNZ", "NQHK", "NQSG", "NQIL", "NQBR", "NQCL", "NQCO", "NQMX", "NQPL", "NQRU", "NQTR", "NQCN", "NQIN", "NQID", "NQMA", "NQKR", "NQPH", "NQTW", "NQTH", "NQEG", "NQMY", "NQZA", "NQUS")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Country_Name &lt;- c("Japan", "United Kingdom", "Canada", "Austria", "Belgium", "Finland", "France", "Denmark", "Germany", "Greece", "Ireland", "Italy", "Netherlands", "Norway", "Spain", "Sweden", "Switzerland", "Australia", "New Zealand", "Hong Kong", "Singapore", "Israel", "Brazil", "Chile", "Colombia", "Mexico", "Poland", "Russia", "Turkey", "China", "India", "Indonesia", "Morocco", "Korea", "Philippines", "Taiwan", "Thailand", "Egypt", "Malaysia", "South Africa", "US")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Countries &lt;- data.frame(Country_Code, Country_Name)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Sector_Code &lt;- c("0001", "0530", "0533", "0537", "0570", "0573", "0577", "0580", "0583", "0587", "1000", "1300", "1353", "1357", "1700", "1730", "1737", "1750", "1755", "1757", "1770", "1771", "1775", "1777", "2000", "2300", "2353", "2357", "2700", "2710", "2713", "2717", "2720", "2723", "2727", "2730", "2733", "2737", "2750", "2753", "2757", "2770", "2771", "2773", "2775", "2777", "2779", "2790", "2791", "2793", "2795", "2797", "2799", "3000", "3300", "3355", "3500", "3530", "3535", "3537", "3570", "3573", "3577", "3700", "3720", "3722", "3724", "3726", "3728", "3740", "3743", "3745", "3747", "3760", "3763", "3765", "3767", "3780", "4000", "4530", "4533", "4535", "4537", "4570", "4573", "4577", "5000", "5300", "5330", "5333", "5337", "5370", "5371", "5373", "5375", "5377", "5379", "5500", "5553", "5555", "5557", "5700", "5751", "5752", "5753", "5755", "5757", "5759", "6000", "6530", "6570", "7000", "7530", "7535", "7570", "7573", "7575", "7577", "8000", "8300", "8500", "8530", "8532", "8536", "8538", "8570", "8600", "8630", "8633", "8637", "8670", "8671", "8672", "8673", "8674", "8675", "8676", "8677", "8700", "8770", "8771", "8773", "8775", "8777", "8779", "9000", "9530", "9533", "9535", "9537", "9570", "9572", "9576", "9578")</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Sector_Name &lt;- c("Oil &amp; Gas", "Oil &amp; Gas Producers", "Exploration &amp; Production", "Integrated Oil &amp; Gas", "Oil Equipment, Services &amp; Distribution", "Oil Equipment &amp; Services", "Pipelines", "Alternative Energy", "Renewable Energy Equipment", "Alternative Fuels", "Basic Materials", "Chemicals", "Commodity Chemicals", "Specialty Chemicals", "Basic Resources", "Forestry &amp; Paper", "Paper", "Industrial Metals &amp; Mining", "Nonferrous Metals", "Iron &amp; Steel", "Mining", "Coal", "General Mining", "Gold Mining", "Industrials", "Construction &amp; Materials", "Building Materials &amp; Fixtures", "Heavy Construction", "Industrial Goods &amp; Services", "Aerospace &amp; Defense", "Aerospace", "Defense", "General Industrials", "Containers &amp; Packaging", "Diversified Industrials", "Electronic &amp; Electrical Equipment", "Electrical Components &amp; Equipment", "Electronic Equipment", "Industrial Engineering", "Commercial Vehicles &amp; Trucks", "Industrial Machinery", "Industrial Transportation", "Delivery Services", "Marine Transportation", "Railroads", "Transportation Services", "Trucking", "Support Services", "Business Support Services", "Business Training &amp; Employment Agencies", "Financial Administration", "Industrial Suppliers", "Waste &amp; Disposal Services", "Consumer Goods", "Automobiles &amp; Parts", "Auto Parts", "Food &amp; Beverage", "Beverages", "Distillers &amp; Vintners", "Soft Drinks", "Food Producers", "Farming, Fishing &amp; Plantations", "Food Products", "Personal &amp; Household Goods", "Household Goods &amp; Home Construction", "Durable Household Products", "Nondurable Household Products", "Furnishings", "Home Construction", "Leisure Goods", "Consumer Electronics", "Recreational Products", "Toys", "Personal Goods", "Clothing &amp; Accessories", "Footwear", "Personal Products", "Tobacco", "Health Care", "Health Care Equipment &amp; Services", "Health Care Providers", "Medical Equipment", "Medical Supplies", "Pharmaceuticals &amp; Biotechnology", "Biotechnology", "Pharmaceuticals", "Consumer Services", "Retail", "Food &amp; Drug Retailers", "Drug Retailers", "Food Retailers &amp; Wholesalers", "General Retailers", "Apparel Retailers", "Broadline Retailers", "Home Improvement Retailers", "Specialized Consumer Services", "Specialty Retailers", "Media", "Broadcasting &amp; Entertainment", "Media Agencies", "Publishing", "Travel &amp; Leisure", "Airlines", "Gambling", "Hotels", "Recreational Services", "Restaurants &amp; Bars", "Travel &amp; Tourism", "Telecommunications", "Fixed Line Telecommunications", "Mobile Telecommunications", "Utilities", "Electricity", "Conventional Electricity", "Gas, Water &amp; Multi-utilities", "Gas Distribution", "Multi-utilities", "Water", "Financials", "Banks", "Insurance", "Nonlife Insurance", "Full Line Insurance", "Property &amp; Casualty Insurance", "Reinsurance", "Life Insurance", "Real Estate", "Real Estate Investment &amp; Services", "Real Estate Holding &amp; Development", "Real Estate Services", "Real Estate Investment Trusts", "Industrial &amp; Office REITs", "Retail REITs", "Residential REITs", "Diversified REITs", "Specialty REITs", "Mortgage REITs", "Hotel &amp; Lodging REITs", "Financial Services", "Financial Services", "Asset Managers", "Consumer Finance", "Specialty Finance", "Investment Services", "Mortgage Finance", "Technology", "Software &amp; Computer Services", "Computer Services", "Internet", "Software", "Technology Hardware &amp; Equipment", "Computer Hardware", "Semiconductors", "Telecommunications Equipment")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Sectors &lt;- data.frame(Sector_Code, Sector_Name)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Nasdaq &lt;- merge(Nasdaq, Countries, by = "Country_Code")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Nasdaq &lt;- merge(Nasdaq, Sectors, by = "Sector_Code")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Big_Sector &lt;-Sectors[grep("000", Sectors$Sector_Code),]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names(Big_Sector) &lt;- c("Big_Sector","Broad_Sector")</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Nasdaq &lt;- merge(Big_Sector, Nasdaq, by = "Big_Sector")</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Nasdaq&lt;-Nasdaq[,-c("Big_Sector","Sector_Code","Country_Code")]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Nasdaq&lt;-subset(Nasdaq, select = -c(Big_Sector, Sector_Code, Country_Code)) # deleting not needed columns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head(Nasdaq)</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Calibri" w:cs="Calibri" w:eastAsia="Calibri" w:hAnsi="Calibri"/>
          <w:color w:val="1f497d"/>
          <w:highlight w:val="white"/>
        </w:rPr>
      </w:pPr>
      <w:r w:rsidDel="00000000" w:rsidR="00000000" w:rsidRPr="00000000">
        <w:rPr>
          <w:rFonts w:ascii="Calibri" w:cs="Calibri" w:eastAsia="Calibri" w:hAnsi="Calibri"/>
          <w:color w:val="1f497d"/>
          <w:highlight w:val="white"/>
          <w:rtl w:val="0"/>
        </w:rPr>
        <w:t xml:space="preserve">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Calibri" w:cs="Calibri" w:eastAsia="Calibri" w:hAnsi="Calibri"/>
          <w:color w:val="1f497d"/>
          <w:highlight w:val="white"/>
        </w:rPr>
      </w:pPr>
      <w:r w:rsidDel="00000000" w:rsidR="00000000" w:rsidRPr="00000000">
        <w:rPr>
          <w:rFonts w:ascii="Calibri" w:cs="Calibri" w:eastAsia="Calibri" w:hAnsi="Calibri"/>
          <w:color w:val="1f497d"/>
          <w:highlight w:val="white"/>
          <w:rtl w:val="0"/>
        </w:rPr>
        <w:t xml:space="preserve">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Calibri" w:cs="Calibri" w:eastAsia="Calibri" w:hAnsi="Calibri"/>
          <w:color w:val="1f497d"/>
          <w:highlight w:val="white"/>
        </w:rPr>
      </w:pPr>
      <w:r w:rsidDel="00000000" w:rsidR="00000000" w:rsidRPr="00000000">
        <w:rPr>
          <w:rFonts w:ascii="Calibri" w:cs="Calibri" w:eastAsia="Calibri" w:hAnsi="Calibri"/>
          <w:color w:val="1f497d"/>
          <w:highlight w:val="white"/>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Calibri" w:cs="Calibri" w:eastAsia="Calibri" w:hAnsi="Calibri"/>
          <w:color w:val="1f497d"/>
          <w:highlight w:val="white"/>
        </w:rPr>
      </w:pPr>
      <w:r w:rsidDel="00000000" w:rsidR="00000000" w:rsidRPr="00000000">
        <w:rPr>
          <w:rFonts w:ascii="Calibri" w:cs="Calibri" w:eastAsia="Calibri" w:hAnsi="Calibri"/>
          <w:color w:val="1f497d"/>
          <w:highlight w:val="white"/>
          <w:rtl w:val="0"/>
        </w:rPr>
        <w:t xml:space="preserve">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#Load packages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#Load packages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library(RCurl)</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library(plyr)</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library(stringr)</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library (gdata)</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#Indexes &lt;- c("NQG1300EUR", "NQFR8000EUR", "NQEURO2000EUR")</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Indexes &lt;- c("NQG1300EUR")</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End_Date = Sys.Date()-3 # format should be “2015-01-19”</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Start_Date = End_Date-5 #format should be “2015-01-19”</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URL_Nasdaq &lt;- paste("</w:t>
      </w:r>
      <w:hyperlink r:id="rId9">
        <w:r w:rsidDel="00000000" w:rsidR="00000000" w:rsidRPr="00000000">
          <w:rPr>
            <w:rFonts w:ascii="Calibri" w:cs="Calibri" w:eastAsia="Calibri" w:hAnsi="Calibri"/>
            <w:color w:val="1155cc"/>
            <w:highlight w:val="white"/>
            <w:u w:val="single"/>
            <w:rtl w:val="0"/>
          </w:rPr>
          <w:t xml:space="preserve">https://indexes.nasdaqomx.com/Index/ExportHistory/</w:t>
        </w:r>
      </w:hyperlink>
      <w:r w:rsidDel="00000000" w:rsidR="00000000" w:rsidRPr="00000000">
        <w:rPr>
          <w:rFonts w:ascii="Calibri" w:cs="Calibri" w:eastAsia="Calibri" w:hAnsi="Calibri"/>
          <w:highlight w:val="white"/>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                    Indexes,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                    "?startDate=",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                    Start_Date,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                    "T00:00:00.000&amp;endDate=",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                    End_Date,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                    "T00:00:00.000&amp;timeOfDay=EOD.xls") # URL for all nasdaq indexes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URL_Nasdaq &lt;- gsub(" ", "", URL_Nasdaq) # somehow it creates it with space =&gt; we need to remove spaces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#Nasdaq &lt;- read.xlsx(textConnection(URL_Nasdaq)) # trasforming to dataframe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#Nasdaq &lt;- read.xls (URL_Nasdaq, sheet = 1, header = TRUE)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#installXLSXsupport()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Nasdaq &lt;- read.xls(URL_Nasdaq, sheet = 1, header = TRUE)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URL_Nasdaq</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ndexes.nasdaqomx.com/Index/ExportHistory/" TargetMode="External"/><Relationship Id="rId5" Type="http://schemas.openxmlformats.org/officeDocument/2006/relationships/styles" Target="styles.xml"/><Relationship Id="rId6" Type="http://schemas.openxmlformats.org/officeDocument/2006/relationships/hyperlink" Target="https://indexes.nasdaqomx.com/docs/AppendixNQGIIndexes.csv" TargetMode="External"/><Relationship Id="rId7" Type="http://schemas.openxmlformats.org/officeDocument/2006/relationships/hyperlink" Target="http://index.name/" TargetMode="External"/><Relationship Id="rId8" Type="http://schemas.openxmlformats.org/officeDocument/2006/relationships/hyperlink" Target="http://index.n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