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88C710" w14:textId="77777777" w:rsidR="00AD699D" w:rsidRDefault="00000000">
      <w:r>
        <w:rPr>
          <w:rFonts w:ascii="Georgia" w:hAnsi="Georgia"/>
          <w:b/>
          <w:color w:val="1C2620"/>
          <w:sz w:val="48"/>
        </w:rPr>
        <w:t>Remote Proctoring &amp; Identity Verification Platform for NEBOSH / IOSH Training &amp; Testing</w:t>
      </w:r>
    </w:p>
    <w:p w14:paraId="2649B37D" w14:textId="77777777" w:rsidR="00AD699D" w:rsidRDefault="00000000">
      <w:pPr>
        <w:spacing w:after="320"/>
      </w:pPr>
      <w:r>
        <w:rPr>
          <w:sz w:val="24"/>
        </w:rPr>
        <w:t>A biometric KYC and live exam-integrity system, built to run online NEBOSH/IOSH assessments across Pakistan without a physical test centre — on low-spec webcams and constrained bandwidth.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AD699D" w14:paraId="0EA13933" w14:textId="77777777">
        <w:tc>
          <w:tcPr>
            <w:tcW w:w="3024" w:type="dxa"/>
          </w:tcPr>
          <w:p w14:paraId="747793DB" w14:textId="77777777" w:rsidR="00AD699D" w:rsidRDefault="00000000">
            <w:pPr>
              <w:spacing w:after="40"/>
            </w:pPr>
            <w:r>
              <w:rPr>
                <w:rFonts w:ascii="Consolas" w:hAnsi="Consolas"/>
                <w:b/>
                <w:color w:val="8A9285"/>
                <w:sz w:val="16"/>
              </w:rPr>
              <w:t>PREPARED FOR</w:t>
            </w:r>
          </w:p>
          <w:p w14:paraId="2A702368" w14:textId="77777777" w:rsidR="00AD699D" w:rsidRDefault="00000000">
            <w:r>
              <w:rPr>
                <w:b/>
                <w:color w:val="1C2620"/>
                <w:sz w:val="20"/>
              </w:rPr>
              <w:t>Safe Pakistan — NEBOSH/IOSH Testing &amp; Training</w:t>
            </w:r>
          </w:p>
        </w:tc>
        <w:tc>
          <w:tcPr>
            <w:tcW w:w="3024" w:type="dxa"/>
          </w:tcPr>
          <w:p w14:paraId="2B0B275F" w14:textId="77777777" w:rsidR="00AD699D" w:rsidRDefault="00000000">
            <w:pPr>
              <w:spacing w:after="40"/>
            </w:pPr>
            <w:r>
              <w:rPr>
                <w:rFonts w:ascii="Consolas" w:hAnsi="Consolas"/>
                <w:b/>
                <w:color w:val="8A9285"/>
                <w:sz w:val="16"/>
              </w:rPr>
              <w:t>DATE</w:t>
            </w:r>
          </w:p>
          <w:p w14:paraId="65F23223" w14:textId="77777777" w:rsidR="00AD699D" w:rsidRDefault="00000000">
            <w:r>
              <w:rPr>
                <w:b/>
                <w:color w:val="1C2620"/>
                <w:sz w:val="20"/>
              </w:rPr>
              <w:t>09 September 2026</w:t>
            </w:r>
          </w:p>
        </w:tc>
        <w:tc>
          <w:tcPr>
            <w:tcW w:w="3024" w:type="dxa"/>
          </w:tcPr>
          <w:p w14:paraId="177A65A0" w14:textId="77777777" w:rsidR="00AD699D" w:rsidRDefault="00000000">
            <w:pPr>
              <w:spacing w:after="40"/>
            </w:pPr>
            <w:r>
              <w:rPr>
                <w:rFonts w:ascii="Consolas" w:hAnsi="Consolas"/>
                <w:b/>
                <w:color w:val="8A9285"/>
                <w:sz w:val="16"/>
              </w:rPr>
              <w:t>VALIDITY</w:t>
            </w:r>
          </w:p>
          <w:p w14:paraId="4D9956BC" w14:textId="77777777" w:rsidR="00AD699D" w:rsidRDefault="00000000">
            <w:r>
              <w:rPr>
                <w:b/>
                <w:color w:val="1C2620"/>
                <w:sz w:val="20"/>
              </w:rPr>
              <w:t>30 days from issue</w:t>
            </w:r>
          </w:p>
        </w:tc>
      </w:tr>
    </w:tbl>
    <w:p w14:paraId="5A1C1744" w14:textId="77777777" w:rsidR="00AD699D" w:rsidRDefault="00AD699D">
      <w:pPr>
        <w:spacing w:after="80"/>
      </w:pPr>
    </w:p>
    <w:p w14:paraId="02B57F52" w14:textId="77777777" w:rsidR="00AD699D" w:rsidRDefault="00AD699D">
      <w:pPr>
        <w:pBdr>
          <w:bottom w:val="single" w:sz="18" w:space="0" w:color="1C2620"/>
        </w:pBdr>
      </w:pPr>
    </w:p>
    <w:p w14:paraId="07E22AAF" w14:textId="77777777" w:rsidR="00AD699D" w:rsidRDefault="00000000">
      <w:pPr>
        <w:keepNext/>
        <w:pBdr>
          <w:bottom w:val="single" w:sz="4" w:space="6" w:color="DEDACB"/>
        </w:pBdr>
        <w:spacing w:before="520"/>
      </w:pPr>
      <w:r>
        <w:rPr>
          <w:rFonts w:ascii="Consolas" w:hAnsi="Consolas"/>
          <w:b/>
          <w:color w:val="0E6B57"/>
          <w:sz w:val="22"/>
        </w:rPr>
        <w:t xml:space="preserve">01   </w:t>
      </w:r>
      <w:r>
        <w:rPr>
          <w:rFonts w:ascii="Georgia" w:hAnsi="Georgia"/>
          <w:b/>
          <w:color w:val="1C2620"/>
          <w:sz w:val="34"/>
        </w:rPr>
        <w:t>The problem</w:t>
      </w:r>
    </w:p>
    <w:p w14:paraId="0A8C3068" w14:textId="77777777" w:rsidR="00AD699D" w:rsidRDefault="00000000">
      <w:pPr>
        <w:spacing w:after="160"/>
      </w:pPr>
      <w:r>
        <w:rPr>
          <w:sz w:val="22"/>
        </w:rPr>
        <w:t>Delivering NEBOSH/IOSH exams online in Pakistan today means trusting that the person on camera is who they registered as, and that they stay unassisted and alone for the full exam window — over a connection that may drop. Without an automated check, that trust has to be enforced by a human watching a video feed, which doesn’t scale past a handful of concurrent sessions and leaves no defensible audit trail if a result is disputed.</w:t>
      </w:r>
    </w:p>
    <w:p w14:paraId="3F29AC10" w14:textId="77777777" w:rsidR="00AD699D" w:rsidRDefault="00000000">
      <w:pPr>
        <w:keepNext/>
        <w:pBdr>
          <w:bottom w:val="single" w:sz="4" w:space="6" w:color="DEDACB"/>
        </w:pBdr>
        <w:spacing w:before="520"/>
      </w:pPr>
      <w:r>
        <w:rPr>
          <w:rFonts w:ascii="Consolas" w:hAnsi="Consolas"/>
          <w:b/>
          <w:color w:val="0E6B57"/>
          <w:sz w:val="22"/>
        </w:rPr>
        <w:t xml:space="preserve">02   </w:t>
      </w:r>
      <w:r>
        <w:rPr>
          <w:rFonts w:ascii="Georgia" w:hAnsi="Georgia"/>
          <w:b/>
          <w:color w:val="1C2620"/>
          <w:sz w:val="34"/>
        </w:rPr>
        <w:t>What we're building</w:t>
      </w:r>
    </w:p>
    <w:p w14:paraId="3CBAA56D" w14:textId="77777777" w:rsidR="00AD699D" w:rsidRDefault="00000000">
      <w:pPr>
        <w:spacing w:after="160"/>
      </w:pPr>
      <w:r>
        <w:rPr>
          <w:sz w:val="22"/>
        </w:rPr>
        <w:t>A system with two jobs: confirm the candidate is who they say they are before the exam starts, then hold the integrity of the session for its full duration — end to end, transparent, and fully reportable, not built around any single way of cheating.</w:t>
      </w:r>
    </w:p>
    <w:p w14:paraId="5F6921B5" w14:textId="77777777" w:rsidR="00AD699D" w:rsidRDefault="00000000">
      <w:pPr>
        <w:spacing w:before="280" w:after="80"/>
      </w:pPr>
      <w:r>
        <w:rPr>
          <w:rFonts w:ascii="Georgia" w:hAnsi="Georgia"/>
          <w:b/>
          <w:color w:val="0E6B57"/>
          <w:sz w:val="22"/>
        </w:rPr>
        <w:t>Before the exam — Identity verification (KYC)</w:t>
      </w:r>
    </w:p>
    <w:p w14:paraId="5F3F1829" w14:textId="77777777" w:rsidR="00AD699D" w:rsidRDefault="00000000">
      <w:pPr>
        <w:pStyle w:val="ListBullet"/>
        <w:spacing w:after="60"/>
      </w:pPr>
      <w:r>
        <w:rPr>
          <w:sz w:val="20"/>
        </w:rPr>
        <w:t>Candidate uploads a CNIC/passport and a live selfie</w:t>
      </w:r>
    </w:p>
    <w:p w14:paraId="128EBCF5" w14:textId="77777777" w:rsidR="00AD699D" w:rsidRDefault="00000000">
      <w:pPr>
        <w:pStyle w:val="ListBullet"/>
        <w:spacing w:after="60"/>
      </w:pPr>
      <w:r>
        <w:rPr>
          <w:sz w:val="20"/>
        </w:rPr>
        <w:t>Liveness check rejects photos, screens, and printouts</w:t>
      </w:r>
    </w:p>
    <w:p w14:paraId="08F3B13D" w14:textId="77777777" w:rsidR="00AD699D" w:rsidRDefault="00000000">
      <w:pPr>
        <w:pStyle w:val="ListBullet"/>
        <w:spacing w:after="60"/>
      </w:pPr>
      <w:r>
        <w:rPr>
          <w:sz w:val="20"/>
        </w:rPr>
        <w:t>Face match against the ID, scored and logged</w:t>
      </w:r>
    </w:p>
    <w:p w14:paraId="07E32769" w14:textId="77777777" w:rsidR="00AD699D" w:rsidRDefault="00000000">
      <w:pPr>
        <w:pStyle w:val="ListBullet"/>
        <w:spacing w:after="60"/>
      </w:pPr>
      <w:r>
        <w:rPr>
          <w:sz w:val="20"/>
        </w:rPr>
        <w:t>Result available in seconds, not a manual queue</w:t>
      </w:r>
    </w:p>
    <w:p w14:paraId="306BAE1A" w14:textId="77777777" w:rsidR="00AD699D" w:rsidRDefault="00000000">
      <w:pPr>
        <w:spacing w:before="280" w:after="80"/>
      </w:pPr>
      <w:r>
        <w:rPr>
          <w:rFonts w:ascii="Georgia" w:hAnsi="Georgia"/>
          <w:b/>
          <w:color w:val="0E6B57"/>
          <w:sz w:val="22"/>
        </w:rPr>
        <w:t>During the exam — Live session integrity monitoring</w:t>
      </w:r>
    </w:p>
    <w:p w14:paraId="2E02F5CF" w14:textId="77777777" w:rsidR="00AD699D" w:rsidRDefault="00000000">
      <w:pPr>
        <w:pStyle w:val="ListBullet"/>
        <w:spacing w:after="60"/>
      </w:pPr>
      <w:r>
        <w:rPr>
          <w:sz w:val="20"/>
        </w:rPr>
        <w:t>Continuous, evidence-based monitoring for the full session</w:t>
      </w:r>
      <w:r w:rsidR="00FE2EE0">
        <w:rPr>
          <w:sz w:val="20"/>
        </w:rPr>
        <w:t>.</w:t>
      </w:r>
    </w:p>
    <w:p w14:paraId="429CE249" w14:textId="77777777" w:rsidR="00AD699D" w:rsidRDefault="00000000">
      <w:pPr>
        <w:pStyle w:val="ListBullet"/>
        <w:spacing w:after="60"/>
      </w:pPr>
      <w:r>
        <w:rPr>
          <w:sz w:val="20"/>
        </w:rPr>
        <w:t>Every signal the system evaluates is logged with a timestamp, so the record is transparent and auditable</w:t>
      </w:r>
      <w:r w:rsidR="00FE2EE0">
        <w:rPr>
          <w:sz w:val="20"/>
        </w:rPr>
        <w:t>.</w:t>
      </w:r>
    </w:p>
    <w:p w14:paraId="17A1ED6D" w14:textId="77777777" w:rsidR="00AD699D" w:rsidRDefault="00000000">
      <w:pPr>
        <w:pStyle w:val="ListBullet"/>
        <w:spacing w:after="60"/>
      </w:pPr>
      <w:r>
        <w:rPr>
          <w:sz w:val="20"/>
        </w:rPr>
        <w:t>Detection logic is configurable and extensible as new risks are identified, rather than fixed at launch</w:t>
      </w:r>
    </w:p>
    <w:p w14:paraId="3A1E3F72" w14:textId="77777777" w:rsidR="00AD699D" w:rsidRDefault="00FE2EE0">
      <w:pPr>
        <w:pStyle w:val="ListBullet"/>
        <w:spacing w:after="60"/>
      </w:pPr>
      <w:r>
        <w:rPr>
          <w:sz w:val="20"/>
        </w:rPr>
        <w:t>Flexibility to make it auto fail or log for manual review — every flag is scored</w:t>
      </w:r>
    </w:p>
    <w:p w14:paraId="3574D1E1" w14:textId="77777777" w:rsidR="00AD699D" w:rsidRDefault="00000000">
      <w:pPr>
        <w:spacing w:before="280" w:after="80"/>
      </w:pPr>
      <w:r>
        <w:rPr>
          <w:rFonts w:ascii="Georgia" w:hAnsi="Georgia"/>
          <w:b/>
          <w:color w:val="0E6B57"/>
          <w:sz w:val="22"/>
        </w:rPr>
        <w:lastRenderedPageBreak/>
        <w:t>For your team — Compliance dashboard</w:t>
      </w:r>
    </w:p>
    <w:p w14:paraId="5DA479EE" w14:textId="77777777" w:rsidR="00AD699D" w:rsidRDefault="00000000">
      <w:pPr>
        <w:pStyle w:val="ListBullet"/>
        <w:spacing w:after="60"/>
      </w:pPr>
      <w:r>
        <w:rPr>
          <w:sz w:val="20"/>
        </w:rPr>
        <w:t>Candidate list with verification status</w:t>
      </w:r>
    </w:p>
    <w:p w14:paraId="09E68D76" w14:textId="77777777" w:rsidR="00AD699D" w:rsidRDefault="00000000">
      <w:pPr>
        <w:pStyle w:val="ListBullet"/>
        <w:spacing w:after="60"/>
      </w:pPr>
      <w:r>
        <w:rPr>
          <w:sz w:val="20"/>
        </w:rPr>
        <w:t>Timestamped violation log per session, with snapshots</w:t>
      </w:r>
    </w:p>
    <w:p w14:paraId="6CCD8DDA" w14:textId="77777777" w:rsidR="00AD699D" w:rsidRDefault="00000000">
      <w:pPr>
        <w:pStyle w:val="ListBullet"/>
        <w:spacing w:after="60"/>
      </w:pPr>
      <w:r>
        <w:rPr>
          <w:sz w:val="20"/>
        </w:rPr>
        <w:t>Mark flags reviewed: false positive or confirmed</w:t>
      </w:r>
    </w:p>
    <w:p w14:paraId="24C7E7EC" w14:textId="77777777" w:rsidR="00AD699D" w:rsidRDefault="00000000">
      <w:pPr>
        <w:pStyle w:val="ListBullet"/>
        <w:spacing w:after="60"/>
      </w:pPr>
      <w:r>
        <w:rPr>
          <w:sz w:val="20"/>
        </w:rPr>
        <w:t>Exportable audit trail for accreditation reviews</w:t>
      </w:r>
    </w:p>
    <w:p w14:paraId="241908A6" w14:textId="77777777" w:rsidR="00AD699D" w:rsidRDefault="00000000">
      <w:pPr>
        <w:spacing w:before="280" w:after="80"/>
      </w:pPr>
      <w:r>
        <w:rPr>
          <w:rFonts w:ascii="Georgia" w:hAnsi="Georgia"/>
          <w:b/>
          <w:color w:val="0E6B57"/>
          <w:sz w:val="22"/>
        </w:rPr>
        <w:t>Under the hood — Built for Pakistan's networks</w:t>
      </w:r>
    </w:p>
    <w:p w14:paraId="6F6D9FD2" w14:textId="77777777" w:rsidR="00AD699D" w:rsidRDefault="00000000">
      <w:pPr>
        <w:pStyle w:val="ListBullet"/>
        <w:spacing w:after="60"/>
      </w:pPr>
      <w:r>
        <w:rPr>
          <w:sz w:val="20"/>
        </w:rPr>
        <w:t>Face-presence checks run in-browser — nothing uploads if no face is visible</w:t>
      </w:r>
    </w:p>
    <w:p w14:paraId="5B991B1F" w14:textId="77777777" w:rsidR="00AD699D" w:rsidRDefault="00000000">
      <w:pPr>
        <w:pStyle w:val="ListBullet"/>
        <w:spacing w:after="60"/>
      </w:pPr>
      <w:r>
        <w:rPr>
          <w:sz w:val="20"/>
        </w:rPr>
        <w:t>Frames downscaled and compressed before they ever leave the device</w:t>
      </w:r>
    </w:p>
    <w:p w14:paraId="1BB25A64" w14:textId="77777777" w:rsidR="00AD699D" w:rsidRDefault="00000000">
      <w:pPr>
        <w:pStyle w:val="ListBullet"/>
        <w:spacing w:after="60"/>
      </w:pPr>
      <w:r>
        <w:rPr>
          <w:sz w:val="20"/>
        </w:rPr>
        <w:t>Check interval widens automatically on a weak connection</w:t>
      </w:r>
    </w:p>
    <w:p w14:paraId="244277E9" w14:textId="77777777" w:rsidR="00AD699D" w:rsidRDefault="00000000">
      <w:pPr>
        <w:pStyle w:val="ListBullet"/>
        <w:spacing w:after="60"/>
      </w:pPr>
      <w:r>
        <w:rPr>
          <w:sz w:val="20"/>
        </w:rPr>
        <w:t>Queues and retries frames through a dropped connection</w:t>
      </w:r>
    </w:p>
    <w:p w14:paraId="24FEE75C" w14:textId="77777777" w:rsidR="00AD699D" w:rsidRDefault="00000000">
      <w:pPr>
        <w:spacing w:before="280" w:after="80"/>
      </w:pPr>
      <w:r>
        <w:rPr>
          <w:rFonts w:ascii="Georgia" w:hAnsi="Georgia"/>
          <w:b/>
          <w:color w:val="0E6B57"/>
          <w:sz w:val="22"/>
        </w:rPr>
        <w:t>Connected, not standalone — Integration with Safe Pakistan &amp; NEBOSH systems</w:t>
      </w:r>
    </w:p>
    <w:p w14:paraId="61FE735C" w14:textId="77777777" w:rsidR="00AD699D" w:rsidRDefault="00000000">
      <w:pPr>
        <w:pStyle w:val="ListBullet"/>
        <w:spacing w:after="60"/>
      </w:pPr>
      <w:r>
        <w:rPr>
          <w:sz w:val="20"/>
        </w:rPr>
        <w:t xml:space="preserve">Candidate bookings and results </w:t>
      </w:r>
      <w:r w:rsidR="00FE2EE0">
        <w:rPr>
          <w:sz w:val="20"/>
        </w:rPr>
        <w:t xml:space="preserve">will be </w:t>
      </w:r>
      <w:r>
        <w:rPr>
          <w:sz w:val="20"/>
        </w:rPr>
        <w:t>sync</w:t>
      </w:r>
      <w:r w:rsidR="00FE2EE0">
        <w:rPr>
          <w:sz w:val="20"/>
        </w:rPr>
        <w:t>ed</w:t>
      </w:r>
      <w:r>
        <w:rPr>
          <w:sz w:val="20"/>
        </w:rPr>
        <w:t xml:space="preserve"> with Safe Pakistan</w:t>
      </w:r>
      <w:r w:rsidR="00FE2EE0">
        <w:rPr>
          <w:sz w:val="20"/>
        </w:rPr>
        <w:t xml:space="preserve"> or NEBOSH </w:t>
      </w:r>
      <w:r>
        <w:rPr>
          <w:sz w:val="20"/>
        </w:rPr>
        <w:t xml:space="preserve">existing </w:t>
      </w:r>
      <w:r w:rsidR="00FE2EE0">
        <w:rPr>
          <w:sz w:val="20"/>
        </w:rPr>
        <w:t>system.</w:t>
      </w:r>
    </w:p>
    <w:p w14:paraId="799C8070" w14:textId="77777777" w:rsidR="00AD699D" w:rsidRDefault="00000000">
      <w:pPr>
        <w:pStyle w:val="ListBullet"/>
        <w:spacing w:after="60"/>
      </w:pPr>
      <w:r>
        <w:rPr>
          <w:sz w:val="20"/>
        </w:rPr>
        <w:t>Verification status and session reports structured to match accreditation and audit requirements</w:t>
      </w:r>
    </w:p>
    <w:p w14:paraId="03F837BC" w14:textId="77777777" w:rsidR="00AD699D" w:rsidRDefault="00000000">
      <w:pPr>
        <w:pStyle w:val="ListBullet"/>
        <w:spacing w:after="60"/>
      </w:pPr>
      <w:r>
        <w:rPr>
          <w:sz w:val="20"/>
        </w:rPr>
        <w:t>Exposed via API so either system can be the source of truth, with this platform's exports feeding downstream reporting on either side</w:t>
      </w:r>
    </w:p>
    <w:p w14:paraId="647EE21D" w14:textId="77777777" w:rsidR="00AD699D" w:rsidRDefault="00000000">
      <w:pPr>
        <w:keepNext/>
        <w:pBdr>
          <w:bottom w:val="single" w:sz="4" w:space="6" w:color="DEDACB"/>
        </w:pBdr>
        <w:spacing w:before="520"/>
      </w:pPr>
      <w:r>
        <w:rPr>
          <w:rFonts w:ascii="Consolas" w:hAnsi="Consolas"/>
          <w:b/>
          <w:color w:val="0E6B57"/>
          <w:sz w:val="22"/>
        </w:rPr>
        <w:t xml:space="preserve">03   </w:t>
      </w:r>
      <w:r>
        <w:rPr>
          <w:rFonts w:ascii="Georgia" w:hAnsi="Georgia"/>
          <w:b/>
          <w:color w:val="1C2620"/>
          <w:sz w:val="34"/>
        </w:rPr>
        <w:t>Development cost</w:t>
      </w:r>
    </w:p>
    <w:p w14:paraId="72B562ED" w14:textId="77777777" w:rsidR="00AD699D" w:rsidRDefault="00000000">
      <w:pPr>
        <w:spacing w:after="160"/>
      </w:pPr>
      <w:r>
        <w:rPr>
          <w:sz w:val="22"/>
        </w:rPr>
        <w:t>Fixed price for the initial build, delivered in three phases so the platform is verifying real candidates before the full feature set is complete.</w:t>
      </w:r>
    </w:p>
    <w:p w14:paraId="33A1099F" w14:textId="77777777" w:rsidR="00AD699D" w:rsidRDefault="00FE2EE0">
      <w:pPr>
        <w:spacing w:before="240" w:after="80"/>
      </w:pPr>
      <w:r>
        <w:rPr>
          <w:rFonts w:ascii="Consolas" w:hAnsi="Consolas"/>
          <w:b/>
          <w:color w:val="8A9285"/>
          <w:sz w:val="18"/>
        </w:rPr>
        <w:t xml:space="preserve">Deliverable 1 — IDENTITY VERIFICATION (KYC)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768"/>
        <w:gridCol w:w="2304"/>
      </w:tblGrid>
      <w:tr w:rsidR="00AD699D" w14:paraId="2D75ED08" w14:textId="77777777">
        <w:tc>
          <w:tcPr>
            <w:tcW w:w="6768" w:type="dxa"/>
            <w:tcBorders>
              <w:bottom w:val="single" w:sz="10" w:space="0" w:color="C6C0AA"/>
            </w:tcBorders>
          </w:tcPr>
          <w:p w14:paraId="43FAE56A" w14:textId="77777777" w:rsidR="00AD699D" w:rsidRDefault="00AD699D"/>
        </w:tc>
        <w:tc>
          <w:tcPr>
            <w:tcW w:w="2304" w:type="dxa"/>
            <w:tcBorders>
              <w:bottom w:val="single" w:sz="10" w:space="0" w:color="C6C0AA"/>
            </w:tcBorders>
          </w:tcPr>
          <w:p w14:paraId="0B3FE662" w14:textId="77777777" w:rsidR="00AD699D" w:rsidRDefault="00000000">
            <w:pPr>
              <w:jc w:val="right"/>
            </w:pPr>
            <w:r>
              <w:rPr>
                <w:b/>
                <w:color w:val="8A9285"/>
                <w:sz w:val="17"/>
              </w:rPr>
              <w:t>Cost (PKR)</w:t>
            </w:r>
          </w:p>
        </w:tc>
      </w:tr>
      <w:tr w:rsidR="00AD699D" w14:paraId="4F35A60A" w14:textId="77777777">
        <w:tc>
          <w:tcPr>
            <w:tcW w:w="6768" w:type="dxa"/>
            <w:tcBorders>
              <w:bottom w:val="single" w:sz="4" w:space="0" w:color="DEDACB"/>
            </w:tcBorders>
          </w:tcPr>
          <w:p w14:paraId="201324EC" w14:textId="77777777" w:rsidR="00AD699D" w:rsidRDefault="00000000">
            <w:r>
              <w:rPr>
                <w:b/>
                <w:color w:val="1C2620"/>
                <w:sz w:val="20"/>
              </w:rPr>
              <w:t>Candidate registration &amp; ID/selfie capture</w:t>
            </w:r>
          </w:p>
        </w:tc>
        <w:tc>
          <w:tcPr>
            <w:tcW w:w="2304" w:type="dxa"/>
            <w:tcBorders>
              <w:bottom w:val="single" w:sz="4" w:space="0" w:color="DEDACB"/>
            </w:tcBorders>
          </w:tcPr>
          <w:p w14:paraId="197C437C" w14:textId="77777777" w:rsidR="00AD699D" w:rsidRDefault="00AD699D">
            <w:pPr>
              <w:jc w:val="right"/>
            </w:pPr>
          </w:p>
        </w:tc>
      </w:tr>
      <w:tr w:rsidR="00AD699D" w14:paraId="293B4ADC" w14:textId="77777777">
        <w:tc>
          <w:tcPr>
            <w:tcW w:w="6768" w:type="dxa"/>
            <w:tcBorders>
              <w:bottom w:val="single" w:sz="4" w:space="0" w:color="DEDACB"/>
            </w:tcBorders>
          </w:tcPr>
          <w:p w14:paraId="582FBE19" w14:textId="77777777" w:rsidR="00AD699D" w:rsidRDefault="00000000">
            <w:r>
              <w:rPr>
                <w:b/>
                <w:color w:val="1C2620"/>
                <w:sz w:val="20"/>
              </w:rPr>
              <w:t>Liveness detection + face-match pipeline</w:t>
            </w:r>
            <w:r w:rsidR="00FE2EE0">
              <w:rPr>
                <w:b/>
                <w:color w:val="1C2620"/>
                <w:sz w:val="20"/>
              </w:rPr>
              <w:t>, KYC</w:t>
            </w:r>
          </w:p>
        </w:tc>
        <w:tc>
          <w:tcPr>
            <w:tcW w:w="2304" w:type="dxa"/>
            <w:tcBorders>
              <w:bottom w:val="single" w:sz="4" w:space="0" w:color="DEDACB"/>
            </w:tcBorders>
          </w:tcPr>
          <w:p w14:paraId="3A9CB793" w14:textId="77777777" w:rsidR="00AD699D" w:rsidRDefault="00AD699D">
            <w:pPr>
              <w:jc w:val="right"/>
            </w:pPr>
          </w:p>
        </w:tc>
      </w:tr>
      <w:tr w:rsidR="00AD699D" w14:paraId="7657C9C4" w14:textId="77777777">
        <w:tc>
          <w:tcPr>
            <w:tcW w:w="6768" w:type="dxa"/>
            <w:tcBorders>
              <w:top w:val="single" w:sz="14" w:space="0" w:color="1C2620"/>
            </w:tcBorders>
          </w:tcPr>
          <w:p w14:paraId="62B3A632" w14:textId="77777777" w:rsidR="00AD699D" w:rsidRDefault="00AD699D"/>
        </w:tc>
        <w:tc>
          <w:tcPr>
            <w:tcW w:w="2304" w:type="dxa"/>
            <w:tcBorders>
              <w:top w:val="single" w:sz="14" w:space="0" w:color="1C2620"/>
            </w:tcBorders>
          </w:tcPr>
          <w:p w14:paraId="20FBC8EC" w14:textId="77777777" w:rsidR="00AD699D" w:rsidRDefault="00FE2EE0">
            <w:pPr>
              <w:jc w:val="right"/>
            </w:pPr>
            <w:r>
              <w:rPr>
                <w:rFonts w:ascii="Consolas" w:hAnsi="Consolas"/>
                <w:b/>
                <w:color w:val="0E6B57"/>
                <w:sz w:val="24"/>
              </w:rPr>
              <w:t>450,000</w:t>
            </w:r>
          </w:p>
        </w:tc>
      </w:tr>
    </w:tbl>
    <w:p w14:paraId="20E461B6" w14:textId="77777777" w:rsidR="00AD699D" w:rsidRDefault="00AD699D">
      <w:pPr>
        <w:spacing w:after="40"/>
      </w:pPr>
    </w:p>
    <w:p w14:paraId="7485402E" w14:textId="77777777" w:rsidR="00AD699D" w:rsidRDefault="00FE2EE0">
      <w:pPr>
        <w:spacing w:before="240" w:after="80"/>
      </w:pPr>
      <w:r w:rsidRPr="00FE2EE0">
        <w:rPr>
          <w:b/>
          <w:color w:val="8A9285"/>
          <w:sz w:val="18"/>
          <w:szCs w:val="18"/>
        </w:rPr>
        <w:t>Deliverable</w:t>
      </w:r>
      <w:r w:rsidRPr="00FE2EE0">
        <w:rPr>
          <w:rFonts w:ascii="Consolas" w:hAnsi="Consolas"/>
          <w:b/>
          <w:color w:val="8A9285"/>
          <w:sz w:val="18"/>
          <w:szCs w:val="18"/>
        </w:rPr>
        <w:t xml:space="preserve"> 2</w:t>
      </w:r>
      <w:r>
        <w:rPr>
          <w:rFonts w:ascii="Consolas" w:hAnsi="Consolas"/>
          <w:b/>
          <w:color w:val="8A9285"/>
          <w:sz w:val="18"/>
        </w:rPr>
        <w:t xml:space="preserve"> — LIVE PROCTORING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768"/>
        <w:gridCol w:w="2304"/>
      </w:tblGrid>
      <w:tr w:rsidR="00AD699D" w14:paraId="74DE2685" w14:textId="77777777">
        <w:tc>
          <w:tcPr>
            <w:tcW w:w="6768" w:type="dxa"/>
            <w:tcBorders>
              <w:bottom w:val="single" w:sz="10" w:space="0" w:color="C6C0AA"/>
            </w:tcBorders>
          </w:tcPr>
          <w:p w14:paraId="36FC2656" w14:textId="77777777" w:rsidR="00AD699D" w:rsidRDefault="00AD699D"/>
        </w:tc>
        <w:tc>
          <w:tcPr>
            <w:tcW w:w="2304" w:type="dxa"/>
            <w:tcBorders>
              <w:bottom w:val="single" w:sz="10" w:space="0" w:color="C6C0AA"/>
            </w:tcBorders>
          </w:tcPr>
          <w:p w14:paraId="0257943A" w14:textId="77777777" w:rsidR="00AD699D" w:rsidRDefault="00000000">
            <w:pPr>
              <w:jc w:val="right"/>
            </w:pPr>
            <w:r>
              <w:rPr>
                <w:b/>
                <w:color w:val="8A9285"/>
                <w:sz w:val="17"/>
              </w:rPr>
              <w:t>Cost (PKR)</w:t>
            </w:r>
          </w:p>
        </w:tc>
      </w:tr>
      <w:tr w:rsidR="00AD699D" w14:paraId="53FB6928" w14:textId="77777777">
        <w:tc>
          <w:tcPr>
            <w:tcW w:w="6768" w:type="dxa"/>
            <w:tcBorders>
              <w:bottom w:val="single" w:sz="4" w:space="0" w:color="DEDACB"/>
            </w:tcBorders>
          </w:tcPr>
          <w:p w14:paraId="0978B807" w14:textId="77777777" w:rsidR="00AD699D" w:rsidRDefault="00000000">
            <w:r>
              <w:rPr>
                <w:b/>
                <w:color w:val="1C2620"/>
                <w:sz w:val="20"/>
              </w:rPr>
              <w:t>Real-time session client</w:t>
            </w:r>
            <w:r w:rsidR="00FE2EE0">
              <w:rPr>
                <w:b/>
                <w:color w:val="1C2620"/>
                <w:sz w:val="20"/>
              </w:rPr>
              <w:t>, flagging engine</w:t>
            </w:r>
          </w:p>
        </w:tc>
        <w:tc>
          <w:tcPr>
            <w:tcW w:w="2304" w:type="dxa"/>
            <w:tcBorders>
              <w:bottom w:val="single" w:sz="4" w:space="0" w:color="DEDACB"/>
            </w:tcBorders>
          </w:tcPr>
          <w:p w14:paraId="7738AABF" w14:textId="77777777" w:rsidR="00AD699D" w:rsidRDefault="00AD699D">
            <w:pPr>
              <w:jc w:val="right"/>
            </w:pPr>
          </w:p>
        </w:tc>
      </w:tr>
      <w:tr w:rsidR="00AD699D" w14:paraId="2EE4C008" w14:textId="77777777">
        <w:tc>
          <w:tcPr>
            <w:tcW w:w="6768" w:type="dxa"/>
            <w:tcBorders>
              <w:bottom w:val="single" w:sz="4" w:space="0" w:color="DEDACB"/>
            </w:tcBorders>
          </w:tcPr>
          <w:p w14:paraId="6EFE0276" w14:textId="77777777" w:rsidR="00AD699D" w:rsidRDefault="00000000">
            <w:r>
              <w:rPr>
                <w:b/>
                <w:color w:val="1C2620"/>
                <w:sz w:val="20"/>
              </w:rPr>
              <w:t>Server-side frame evaluation &amp; flagging engine</w:t>
            </w:r>
          </w:p>
        </w:tc>
        <w:tc>
          <w:tcPr>
            <w:tcW w:w="2304" w:type="dxa"/>
            <w:tcBorders>
              <w:bottom w:val="single" w:sz="4" w:space="0" w:color="DEDACB"/>
            </w:tcBorders>
          </w:tcPr>
          <w:p w14:paraId="21B16E64" w14:textId="77777777" w:rsidR="00AD699D" w:rsidRDefault="00AD699D">
            <w:pPr>
              <w:jc w:val="right"/>
            </w:pPr>
          </w:p>
        </w:tc>
      </w:tr>
      <w:tr w:rsidR="00AD699D" w14:paraId="354D0F98" w14:textId="77777777">
        <w:tc>
          <w:tcPr>
            <w:tcW w:w="6768" w:type="dxa"/>
            <w:tcBorders>
              <w:bottom w:val="single" w:sz="4" w:space="0" w:color="DEDACB"/>
            </w:tcBorders>
          </w:tcPr>
          <w:p w14:paraId="18A7B43F" w14:textId="77777777" w:rsidR="00AD699D" w:rsidRDefault="00000000">
            <w:r>
              <w:rPr>
                <w:b/>
                <w:color w:val="1C2620"/>
                <w:sz w:val="20"/>
              </w:rPr>
              <w:t>WebSocket session infrastructure + REST fallback</w:t>
            </w:r>
          </w:p>
        </w:tc>
        <w:tc>
          <w:tcPr>
            <w:tcW w:w="2304" w:type="dxa"/>
            <w:tcBorders>
              <w:bottom w:val="single" w:sz="4" w:space="0" w:color="DEDACB"/>
            </w:tcBorders>
          </w:tcPr>
          <w:p w14:paraId="74BA9758" w14:textId="77777777" w:rsidR="00AD699D" w:rsidRDefault="00AD699D">
            <w:pPr>
              <w:jc w:val="right"/>
            </w:pPr>
          </w:p>
        </w:tc>
      </w:tr>
      <w:tr w:rsidR="00AD699D" w14:paraId="19434F6D" w14:textId="77777777">
        <w:tc>
          <w:tcPr>
            <w:tcW w:w="6768" w:type="dxa"/>
            <w:tcBorders>
              <w:top w:val="single" w:sz="14" w:space="0" w:color="1C2620"/>
            </w:tcBorders>
          </w:tcPr>
          <w:p w14:paraId="685C0106" w14:textId="77777777" w:rsidR="00AD699D" w:rsidRDefault="00AD699D"/>
        </w:tc>
        <w:tc>
          <w:tcPr>
            <w:tcW w:w="2304" w:type="dxa"/>
            <w:tcBorders>
              <w:top w:val="single" w:sz="14" w:space="0" w:color="1C2620"/>
            </w:tcBorders>
          </w:tcPr>
          <w:p w14:paraId="2CA035F9" w14:textId="77777777" w:rsidR="00AD699D" w:rsidRDefault="00FE2EE0">
            <w:pPr>
              <w:jc w:val="right"/>
            </w:pPr>
            <w:r>
              <w:rPr>
                <w:rFonts w:ascii="Consolas" w:hAnsi="Consolas"/>
                <w:b/>
                <w:color w:val="0E6B57"/>
                <w:sz w:val="24"/>
              </w:rPr>
              <w:t>10,00,000</w:t>
            </w:r>
          </w:p>
        </w:tc>
      </w:tr>
    </w:tbl>
    <w:p w14:paraId="464AC464" w14:textId="77777777" w:rsidR="00AD699D" w:rsidRDefault="00AD699D">
      <w:pPr>
        <w:spacing w:after="40"/>
      </w:pPr>
    </w:p>
    <w:p w14:paraId="3D5D0838" w14:textId="77777777" w:rsidR="00AD699D" w:rsidRDefault="00FE2EE0">
      <w:pPr>
        <w:spacing w:before="240" w:after="80"/>
      </w:pPr>
      <w:r w:rsidRPr="00FE2EE0">
        <w:rPr>
          <w:b/>
          <w:color w:val="8A9285"/>
          <w:sz w:val="18"/>
          <w:szCs w:val="18"/>
        </w:rPr>
        <w:lastRenderedPageBreak/>
        <w:t>Deliverable</w:t>
      </w:r>
      <w:r w:rsidRPr="00FE2EE0">
        <w:rPr>
          <w:rFonts w:ascii="Consolas" w:hAnsi="Consolas"/>
          <w:b/>
          <w:color w:val="8A9285"/>
          <w:sz w:val="18"/>
          <w:szCs w:val="18"/>
        </w:rPr>
        <w:t xml:space="preserve"> 3</w:t>
      </w:r>
      <w:r>
        <w:rPr>
          <w:rFonts w:ascii="Consolas" w:hAnsi="Consolas"/>
          <w:b/>
          <w:color w:val="8A9285"/>
          <w:sz w:val="18"/>
        </w:rPr>
        <w:t xml:space="preserve"> — ADMIN DASHBOARD, INTEGRATION, HARDENING &amp; LAUNCH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768"/>
        <w:gridCol w:w="2304"/>
      </w:tblGrid>
      <w:tr w:rsidR="00AD699D" w14:paraId="48A0E12B" w14:textId="77777777">
        <w:tc>
          <w:tcPr>
            <w:tcW w:w="6768" w:type="dxa"/>
            <w:tcBorders>
              <w:bottom w:val="single" w:sz="10" w:space="0" w:color="C6C0AA"/>
            </w:tcBorders>
          </w:tcPr>
          <w:p w14:paraId="351128A8" w14:textId="77777777" w:rsidR="00AD699D" w:rsidRDefault="00AD699D"/>
        </w:tc>
        <w:tc>
          <w:tcPr>
            <w:tcW w:w="2304" w:type="dxa"/>
            <w:tcBorders>
              <w:bottom w:val="single" w:sz="10" w:space="0" w:color="C6C0AA"/>
            </w:tcBorders>
          </w:tcPr>
          <w:p w14:paraId="6E51867A" w14:textId="77777777" w:rsidR="00AD699D" w:rsidRDefault="00000000">
            <w:pPr>
              <w:jc w:val="right"/>
            </w:pPr>
            <w:r>
              <w:rPr>
                <w:b/>
                <w:color w:val="8A9285"/>
                <w:sz w:val="17"/>
              </w:rPr>
              <w:t>Cost (PKR)</w:t>
            </w:r>
          </w:p>
        </w:tc>
      </w:tr>
      <w:tr w:rsidR="00AD699D" w14:paraId="4E67726E" w14:textId="77777777">
        <w:tc>
          <w:tcPr>
            <w:tcW w:w="6768" w:type="dxa"/>
            <w:tcBorders>
              <w:bottom w:val="single" w:sz="4" w:space="0" w:color="DEDACB"/>
            </w:tcBorders>
          </w:tcPr>
          <w:p w14:paraId="5EEB0935" w14:textId="77777777" w:rsidR="00AD699D" w:rsidRDefault="00000000">
            <w:r>
              <w:rPr>
                <w:b/>
                <w:color w:val="1C2620"/>
                <w:sz w:val="20"/>
              </w:rPr>
              <w:t>Compliance dashboard &amp; violation review workflow</w:t>
            </w:r>
          </w:p>
        </w:tc>
        <w:tc>
          <w:tcPr>
            <w:tcW w:w="2304" w:type="dxa"/>
            <w:tcBorders>
              <w:bottom w:val="single" w:sz="4" w:space="0" w:color="DEDACB"/>
            </w:tcBorders>
          </w:tcPr>
          <w:p w14:paraId="79CD273E" w14:textId="77777777" w:rsidR="00AD699D" w:rsidRDefault="00000000">
            <w:pPr>
              <w:jc w:val="right"/>
            </w:pPr>
            <w:r>
              <w:rPr>
                <w:rFonts w:ascii="Consolas" w:hAnsi="Consolas"/>
                <w:color w:val="1C2620"/>
                <w:sz w:val="20"/>
              </w:rPr>
              <w:t>450,000</w:t>
            </w:r>
          </w:p>
        </w:tc>
      </w:tr>
      <w:tr w:rsidR="00AD699D" w14:paraId="4FA27934" w14:textId="77777777">
        <w:tc>
          <w:tcPr>
            <w:tcW w:w="6768" w:type="dxa"/>
            <w:tcBorders>
              <w:bottom w:val="single" w:sz="4" w:space="0" w:color="DEDACB"/>
            </w:tcBorders>
          </w:tcPr>
          <w:p w14:paraId="719DB801" w14:textId="77777777" w:rsidR="00AD699D" w:rsidRDefault="00000000">
            <w:r>
              <w:rPr>
                <w:b/>
                <w:color w:val="1C2620"/>
                <w:sz w:val="20"/>
              </w:rPr>
              <w:t>API integration with Safe Pakistan &amp; NEBOSH/IOSH systems</w:t>
            </w:r>
          </w:p>
        </w:tc>
        <w:tc>
          <w:tcPr>
            <w:tcW w:w="2304" w:type="dxa"/>
            <w:tcBorders>
              <w:bottom w:val="single" w:sz="4" w:space="0" w:color="DEDACB"/>
            </w:tcBorders>
          </w:tcPr>
          <w:p w14:paraId="4AA8FA98" w14:textId="77777777" w:rsidR="00AD699D" w:rsidRDefault="00000000">
            <w:pPr>
              <w:jc w:val="right"/>
            </w:pPr>
            <w:r>
              <w:rPr>
                <w:rFonts w:ascii="Consolas" w:hAnsi="Consolas"/>
                <w:color w:val="1C2620"/>
                <w:sz w:val="20"/>
              </w:rPr>
              <w:t>300,000</w:t>
            </w:r>
          </w:p>
        </w:tc>
      </w:tr>
      <w:tr w:rsidR="00AD699D" w14:paraId="660BE385" w14:textId="77777777">
        <w:tc>
          <w:tcPr>
            <w:tcW w:w="6768" w:type="dxa"/>
            <w:tcBorders>
              <w:bottom w:val="single" w:sz="4" w:space="0" w:color="DEDACB"/>
            </w:tcBorders>
          </w:tcPr>
          <w:p w14:paraId="27108D85" w14:textId="77777777" w:rsidR="00AD699D" w:rsidRDefault="00000000">
            <w:r>
              <w:rPr>
                <w:b/>
                <w:color w:val="1C2620"/>
                <w:sz w:val="20"/>
              </w:rPr>
              <w:t>Security review, load testing, UAT with your team</w:t>
            </w:r>
          </w:p>
        </w:tc>
        <w:tc>
          <w:tcPr>
            <w:tcW w:w="2304" w:type="dxa"/>
            <w:tcBorders>
              <w:bottom w:val="single" w:sz="4" w:space="0" w:color="DEDACB"/>
            </w:tcBorders>
          </w:tcPr>
          <w:p w14:paraId="4111E1B0" w14:textId="77777777" w:rsidR="00AD699D" w:rsidRDefault="00000000">
            <w:pPr>
              <w:jc w:val="right"/>
            </w:pPr>
            <w:r>
              <w:rPr>
                <w:rFonts w:ascii="Consolas" w:hAnsi="Consolas"/>
                <w:color w:val="1C2620"/>
                <w:sz w:val="20"/>
              </w:rPr>
              <w:t>350,000</w:t>
            </w:r>
          </w:p>
        </w:tc>
      </w:tr>
      <w:tr w:rsidR="00AD699D" w14:paraId="179D0161" w14:textId="77777777">
        <w:tc>
          <w:tcPr>
            <w:tcW w:w="6768" w:type="dxa"/>
            <w:tcBorders>
              <w:bottom w:val="single" w:sz="4" w:space="0" w:color="DEDACB"/>
            </w:tcBorders>
          </w:tcPr>
          <w:p w14:paraId="71244333" w14:textId="77777777" w:rsidR="00AD699D" w:rsidRDefault="00000000">
            <w:r>
              <w:rPr>
                <w:b/>
                <w:color w:val="1C2620"/>
                <w:sz w:val="20"/>
              </w:rPr>
              <w:t>Production deployment &amp; handover documentation</w:t>
            </w:r>
          </w:p>
        </w:tc>
        <w:tc>
          <w:tcPr>
            <w:tcW w:w="2304" w:type="dxa"/>
            <w:tcBorders>
              <w:bottom w:val="single" w:sz="4" w:space="0" w:color="DEDACB"/>
            </w:tcBorders>
          </w:tcPr>
          <w:p w14:paraId="1732EC39" w14:textId="77777777" w:rsidR="00AD699D" w:rsidRDefault="00000000">
            <w:pPr>
              <w:jc w:val="right"/>
            </w:pPr>
            <w:r>
              <w:rPr>
                <w:rFonts w:ascii="Consolas" w:hAnsi="Consolas"/>
                <w:color w:val="1C2620"/>
                <w:sz w:val="20"/>
              </w:rPr>
              <w:t>200,000</w:t>
            </w:r>
          </w:p>
        </w:tc>
      </w:tr>
      <w:tr w:rsidR="00AD699D" w14:paraId="150DEA10" w14:textId="77777777">
        <w:tc>
          <w:tcPr>
            <w:tcW w:w="6768" w:type="dxa"/>
            <w:tcBorders>
              <w:top w:val="single" w:sz="14" w:space="0" w:color="1C2620"/>
            </w:tcBorders>
          </w:tcPr>
          <w:p w14:paraId="7D4AA254" w14:textId="77777777" w:rsidR="00AD699D" w:rsidRDefault="00AD699D"/>
        </w:tc>
        <w:tc>
          <w:tcPr>
            <w:tcW w:w="2304" w:type="dxa"/>
            <w:tcBorders>
              <w:top w:val="single" w:sz="14" w:space="0" w:color="1C2620"/>
            </w:tcBorders>
          </w:tcPr>
          <w:p w14:paraId="33426448" w14:textId="77777777" w:rsidR="00AD699D" w:rsidRDefault="00FE2EE0">
            <w:pPr>
              <w:jc w:val="right"/>
            </w:pPr>
            <w:r>
              <w:rPr>
                <w:rFonts w:ascii="Consolas" w:hAnsi="Consolas"/>
                <w:b/>
                <w:color w:val="0E6B57"/>
                <w:sz w:val="24"/>
              </w:rPr>
              <w:t>800,000</w:t>
            </w:r>
          </w:p>
        </w:tc>
      </w:tr>
    </w:tbl>
    <w:p w14:paraId="51D91B5D" w14:textId="77777777" w:rsidR="00AD699D" w:rsidRDefault="00AD699D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768"/>
        <w:gridCol w:w="2304"/>
      </w:tblGrid>
      <w:tr w:rsidR="00AD699D" w14:paraId="0606E441" w14:textId="77777777">
        <w:tc>
          <w:tcPr>
            <w:tcW w:w="6768" w:type="dxa"/>
            <w:tcBorders>
              <w:bottom w:val="single" w:sz="10" w:space="0" w:color="C6C0AA"/>
            </w:tcBorders>
          </w:tcPr>
          <w:p w14:paraId="10FB976E" w14:textId="77777777" w:rsidR="00AD699D" w:rsidRDefault="00000000">
            <w:r>
              <w:rPr>
                <w:b/>
                <w:color w:val="8A9285"/>
                <w:sz w:val="17"/>
              </w:rPr>
              <w:t>Deliverable</w:t>
            </w:r>
          </w:p>
        </w:tc>
        <w:tc>
          <w:tcPr>
            <w:tcW w:w="2304" w:type="dxa"/>
            <w:tcBorders>
              <w:bottom w:val="single" w:sz="10" w:space="0" w:color="C6C0AA"/>
            </w:tcBorders>
          </w:tcPr>
          <w:p w14:paraId="1EED05DE" w14:textId="77777777" w:rsidR="00AD699D" w:rsidRDefault="00000000">
            <w:pPr>
              <w:jc w:val="right"/>
            </w:pPr>
            <w:r>
              <w:rPr>
                <w:b/>
                <w:color w:val="8A9285"/>
                <w:sz w:val="17"/>
              </w:rPr>
              <w:t>Cost (PKR)</w:t>
            </w:r>
          </w:p>
        </w:tc>
      </w:tr>
      <w:tr w:rsidR="00AD699D" w14:paraId="30B992A1" w14:textId="77777777">
        <w:tc>
          <w:tcPr>
            <w:tcW w:w="6768" w:type="dxa"/>
            <w:tcBorders>
              <w:top w:val="single" w:sz="14" w:space="0" w:color="1C2620"/>
            </w:tcBorders>
          </w:tcPr>
          <w:p w14:paraId="516F337B" w14:textId="77777777" w:rsidR="00AD699D" w:rsidRDefault="00000000">
            <w:r>
              <w:rPr>
                <w:b/>
                <w:color w:val="1C2620"/>
              </w:rPr>
              <w:t>Total</w:t>
            </w:r>
          </w:p>
        </w:tc>
        <w:tc>
          <w:tcPr>
            <w:tcW w:w="2304" w:type="dxa"/>
            <w:tcBorders>
              <w:top w:val="single" w:sz="14" w:space="0" w:color="1C2620"/>
            </w:tcBorders>
          </w:tcPr>
          <w:p w14:paraId="3216D36C" w14:textId="77777777" w:rsidR="00AD699D" w:rsidRDefault="00000000">
            <w:pPr>
              <w:jc w:val="right"/>
            </w:pPr>
            <w:r>
              <w:rPr>
                <w:rFonts w:ascii="Consolas" w:hAnsi="Consolas"/>
                <w:b/>
                <w:color w:val="0E6B57"/>
                <w:sz w:val="24"/>
              </w:rPr>
              <w:t xml:space="preserve">PKR </w:t>
            </w:r>
            <w:r w:rsidR="00FE2EE0">
              <w:rPr>
                <w:rFonts w:ascii="Consolas" w:hAnsi="Consolas"/>
                <w:b/>
                <w:color w:val="0E6B57"/>
                <w:sz w:val="24"/>
              </w:rPr>
              <w:t>2</w:t>
            </w:r>
            <w:r>
              <w:rPr>
                <w:rFonts w:ascii="Consolas" w:hAnsi="Consolas"/>
                <w:b/>
                <w:color w:val="0E6B57"/>
                <w:sz w:val="24"/>
              </w:rPr>
              <w:t>,</w:t>
            </w:r>
            <w:r w:rsidR="00FE2EE0">
              <w:rPr>
                <w:rFonts w:ascii="Consolas" w:hAnsi="Consolas"/>
                <w:b/>
                <w:color w:val="0E6B57"/>
                <w:sz w:val="24"/>
              </w:rPr>
              <w:t>25</w:t>
            </w:r>
            <w:r>
              <w:rPr>
                <w:rFonts w:ascii="Consolas" w:hAnsi="Consolas"/>
                <w:b/>
                <w:color w:val="0E6B57"/>
                <w:sz w:val="24"/>
              </w:rPr>
              <w:t>0,000</w:t>
            </w:r>
          </w:p>
        </w:tc>
      </w:tr>
    </w:tbl>
    <w:p w14:paraId="5A3AED66" w14:textId="77777777" w:rsidR="00FE2EE0" w:rsidRDefault="00000000" w:rsidP="00FE2EE0">
      <w:pPr>
        <w:keepNext/>
        <w:pBdr>
          <w:bottom w:val="single" w:sz="4" w:space="6" w:color="DEDACB"/>
        </w:pBdr>
        <w:spacing w:before="520"/>
      </w:pPr>
      <w:r>
        <w:rPr>
          <w:rFonts w:ascii="Consolas" w:hAnsi="Consolas"/>
          <w:b/>
          <w:color w:val="0E6B57"/>
          <w:sz w:val="22"/>
        </w:rPr>
        <w:t xml:space="preserve">04   </w:t>
      </w:r>
      <w:r>
        <w:rPr>
          <w:rFonts w:ascii="Georgia" w:hAnsi="Georgia"/>
          <w:b/>
          <w:color w:val="1C2620"/>
          <w:sz w:val="34"/>
        </w:rPr>
        <w:t>Hosting &amp; running cost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9638"/>
      </w:tblGrid>
      <w:tr w:rsidR="00FE2EE0" w14:paraId="4EDE6449" w14:textId="77777777" w:rsidTr="00A33C19">
        <w:tc>
          <w:tcPr>
            <w:tcW w:w="9638" w:type="dxa"/>
            <w:shd w:val="clear" w:color="auto" w:fill="F5E7D6"/>
          </w:tcPr>
          <w:p w14:paraId="21B243C3" w14:textId="77777777" w:rsidR="00FE2EE0" w:rsidRDefault="00FE2EE0" w:rsidP="00061AFF">
            <w:pPr>
              <w:spacing w:before="80" w:after="80"/>
            </w:pPr>
            <w:r>
              <w:rPr>
                <w:i/>
                <w:sz w:val="19"/>
              </w:rPr>
              <w:t>This quote is only if hosting of the system is to be done on our premises and no servers and infrastructure exists.</w:t>
            </w:r>
          </w:p>
        </w:tc>
      </w:tr>
    </w:tbl>
    <w:p w14:paraId="44BA1332" w14:textId="77777777" w:rsidR="00A33C19" w:rsidRDefault="00A33C19">
      <w:pPr>
        <w:spacing w:after="160"/>
        <w:rPr>
          <w:sz w:val="22"/>
        </w:rPr>
      </w:pPr>
    </w:p>
    <w:p w14:paraId="317F345D" w14:textId="77777777" w:rsidR="00AD699D" w:rsidRDefault="00000000">
      <w:pPr>
        <w:spacing w:after="160"/>
      </w:pPr>
      <w:r>
        <w:rPr>
          <w:sz w:val="22"/>
        </w:rPr>
        <w:t>We don't yet have your candidate-volume figures, so this is priced across the two tiers most centres this size fall into. Move up a tier once concurrent live sessions regularly exceed the lower tier's headroom — infrastructure is built to scale up without a rebuild.</w:t>
      </w:r>
    </w:p>
    <w:p w14:paraId="7808AD65" w14:textId="77777777" w:rsidR="00AD699D" w:rsidRDefault="00000000">
      <w:pPr>
        <w:spacing w:before="240" w:after="80"/>
      </w:pPr>
      <w:r>
        <w:rPr>
          <w:rFonts w:ascii="Consolas" w:hAnsi="Consolas"/>
          <w:b/>
          <w:color w:val="8A9285"/>
          <w:sz w:val="18"/>
        </w:rPr>
        <w:t>STARTER TIER — UP TO ~500 EXAMS/MONTH, CPU-ONLY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768"/>
        <w:gridCol w:w="2304"/>
      </w:tblGrid>
      <w:tr w:rsidR="00AD699D" w14:paraId="06FB8F11" w14:textId="77777777">
        <w:tc>
          <w:tcPr>
            <w:tcW w:w="6768" w:type="dxa"/>
            <w:tcBorders>
              <w:bottom w:val="single" w:sz="10" w:space="0" w:color="C6C0AA"/>
            </w:tcBorders>
          </w:tcPr>
          <w:p w14:paraId="7FF1052E" w14:textId="77777777" w:rsidR="00AD699D" w:rsidRDefault="00000000">
            <w:r>
              <w:rPr>
                <w:b/>
                <w:color w:val="8A9285"/>
                <w:sz w:val="17"/>
              </w:rPr>
              <w:t>Deliverable</w:t>
            </w:r>
          </w:p>
        </w:tc>
        <w:tc>
          <w:tcPr>
            <w:tcW w:w="2304" w:type="dxa"/>
            <w:tcBorders>
              <w:bottom w:val="single" w:sz="10" w:space="0" w:color="C6C0AA"/>
            </w:tcBorders>
          </w:tcPr>
          <w:p w14:paraId="5C60C1E6" w14:textId="77777777" w:rsidR="00AD699D" w:rsidRDefault="00000000">
            <w:pPr>
              <w:jc w:val="right"/>
            </w:pPr>
            <w:r>
              <w:rPr>
                <w:b/>
                <w:color w:val="8A9285"/>
                <w:sz w:val="17"/>
              </w:rPr>
              <w:t>Cost (PKR)</w:t>
            </w:r>
          </w:p>
        </w:tc>
      </w:tr>
      <w:tr w:rsidR="00AD699D" w14:paraId="3E8CE40E" w14:textId="77777777">
        <w:tc>
          <w:tcPr>
            <w:tcW w:w="6768" w:type="dxa"/>
            <w:tcBorders>
              <w:bottom w:val="single" w:sz="4" w:space="0" w:color="DEDACB"/>
            </w:tcBorders>
          </w:tcPr>
          <w:p w14:paraId="7BAC31F9" w14:textId="77777777" w:rsidR="00AD699D" w:rsidRDefault="00000000">
            <w:r>
              <w:rPr>
                <w:b/>
                <w:color w:val="1C2620"/>
                <w:sz w:val="20"/>
              </w:rPr>
              <w:t>App server (4 vCPU / 8GB, handles API + inference)</w:t>
            </w:r>
          </w:p>
        </w:tc>
        <w:tc>
          <w:tcPr>
            <w:tcW w:w="2304" w:type="dxa"/>
            <w:tcBorders>
              <w:bottom w:val="single" w:sz="4" w:space="0" w:color="DEDACB"/>
            </w:tcBorders>
          </w:tcPr>
          <w:p w14:paraId="18062382" w14:textId="77777777" w:rsidR="00AD699D" w:rsidRDefault="00AD699D">
            <w:pPr>
              <w:jc w:val="right"/>
            </w:pPr>
          </w:p>
        </w:tc>
      </w:tr>
      <w:tr w:rsidR="00AD699D" w14:paraId="1D2F73A8" w14:textId="77777777">
        <w:tc>
          <w:tcPr>
            <w:tcW w:w="6768" w:type="dxa"/>
            <w:tcBorders>
              <w:bottom w:val="single" w:sz="4" w:space="0" w:color="DEDACB"/>
            </w:tcBorders>
          </w:tcPr>
          <w:p w14:paraId="3E15BEE8" w14:textId="77777777" w:rsidR="00AD699D" w:rsidRDefault="00000000">
            <w:r>
              <w:rPr>
                <w:b/>
                <w:color w:val="1C2620"/>
                <w:sz w:val="20"/>
              </w:rPr>
              <w:t>Managed PostgreSQL + pgvector</w:t>
            </w:r>
          </w:p>
        </w:tc>
        <w:tc>
          <w:tcPr>
            <w:tcW w:w="2304" w:type="dxa"/>
            <w:tcBorders>
              <w:bottom w:val="single" w:sz="4" w:space="0" w:color="DEDACB"/>
            </w:tcBorders>
          </w:tcPr>
          <w:p w14:paraId="6349B19B" w14:textId="77777777" w:rsidR="00AD699D" w:rsidRDefault="00AD699D">
            <w:pPr>
              <w:jc w:val="right"/>
            </w:pPr>
          </w:p>
        </w:tc>
      </w:tr>
      <w:tr w:rsidR="00AD699D" w14:paraId="74F3336C" w14:textId="77777777">
        <w:tc>
          <w:tcPr>
            <w:tcW w:w="6768" w:type="dxa"/>
            <w:tcBorders>
              <w:bottom w:val="single" w:sz="4" w:space="0" w:color="DEDACB"/>
            </w:tcBorders>
          </w:tcPr>
          <w:p w14:paraId="4074C089" w14:textId="77777777" w:rsidR="00AD699D" w:rsidRDefault="00000000">
            <w:r>
              <w:rPr>
                <w:b/>
                <w:color w:val="1C2620"/>
                <w:sz w:val="20"/>
              </w:rPr>
              <w:t>Redis (queue + session cache)</w:t>
            </w:r>
          </w:p>
        </w:tc>
        <w:tc>
          <w:tcPr>
            <w:tcW w:w="2304" w:type="dxa"/>
            <w:tcBorders>
              <w:bottom w:val="single" w:sz="4" w:space="0" w:color="DEDACB"/>
            </w:tcBorders>
          </w:tcPr>
          <w:p w14:paraId="5A0B0CB4" w14:textId="77777777" w:rsidR="00AD699D" w:rsidRDefault="00AD699D">
            <w:pPr>
              <w:jc w:val="right"/>
            </w:pPr>
          </w:p>
        </w:tc>
      </w:tr>
      <w:tr w:rsidR="00AD699D" w14:paraId="0625CB1C" w14:textId="77777777">
        <w:tc>
          <w:tcPr>
            <w:tcW w:w="6768" w:type="dxa"/>
            <w:tcBorders>
              <w:bottom w:val="single" w:sz="4" w:space="0" w:color="DEDACB"/>
            </w:tcBorders>
          </w:tcPr>
          <w:p w14:paraId="3108B4DD" w14:textId="77777777" w:rsidR="00AD699D" w:rsidRDefault="00000000">
            <w:r>
              <w:rPr>
                <w:b/>
                <w:color w:val="1C2620"/>
                <w:sz w:val="20"/>
              </w:rPr>
              <w:t>Object storage (ID scans, selfies, snapshots)</w:t>
            </w:r>
          </w:p>
        </w:tc>
        <w:tc>
          <w:tcPr>
            <w:tcW w:w="2304" w:type="dxa"/>
            <w:tcBorders>
              <w:bottom w:val="single" w:sz="4" w:space="0" w:color="DEDACB"/>
            </w:tcBorders>
          </w:tcPr>
          <w:p w14:paraId="360F5B13" w14:textId="77777777" w:rsidR="00AD699D" w:rsidRDefault="00AD699D">
            <w:pPr>
              <w:jc w:val="right"/>
            </w:pPr>
          </w:p>
        </w:tc>
      </w:tr>
      <w:tr w:rsidR="00AD699D" w14:paraId="28239DA9" w14:textId="77777777">
        <w:tc>
          <w:tcPr>
            <w:tcW w:w="6768" w:type="dxa"/>
            <w:tcBorders>
              <w:bottom w:val="single" w:sz="4" w:space="0" w:color="DEDACB"/>
            </w:tcBorders>
          </w:tcPr>
          <w:p w14:paraId="72EDB787" w14:textId="77777777" w:rsidR="00AD699D" w:rsidRDefault="00000000">
            <w:r>
              <w:rPr>
                <w:b/>
                <w:color w:val="1C2620"/>
                <w:sz w:val="20"/>
              </w:rPr>
              <w:t>Monitoring &amp; error tracking</w:t>
            </w:r>
          </w:p>
        </w:tc>
        <w:tc>
          <w:tcPr>
            <w:tcW w:w="2304" w:type="dxa"/>
            <w:tcBorders>
              <w:bottom w:val="single" w:sz="4" w:space="0" w:color="DEDACB"/>
            </w:tcBorders>
          </w:tcPr>
          <w:p w14:paraId="24A6A563" w14:textId="77777777" w:rsidR="00AD699D" w:rsidRDefault="00AD699D">
            <w:pPr>
              <w:jc w:val="right"/>
            </w:pPr>
          </w:p>
        </w:tc>
      </w:tr>
      <w:tr w:rsidR="00AD699D" w14:paraId="1BC5272F" w14:textId="77777777">
        <w:tc>
          <w:tcPr>
            <w:tcW w:w="6768" w:type="dxa"/>
            <w:tcBorders>
              <w:top w:val="single" w:sz="14" w:space="0" w:color="1C2620"/>
            </w:tcBorders>
          </w:tcPr>
          <w:p w14:paraId="796415F0" w14:textId="77777777" w:rsidR="00AD699D" w:rsidRDefault="00000000">
            <w:r>
              <w:rPr>
                <w:b/>
                <w:color w:val="1C2620"/>
              </w:rPr>
              <w:t>Estimated monthly hosting</w:t>
            </w:r>
          </w:p>
        </w:tc>
        <w:tc>
          <w:tcPr>
            <w:tcW w:w="2304" w:type="dxa"/>
            <w:tcBorders>
              <w:top w:val="single" w:sz="14" w:space="0" w:color="1C2620"/>
            </w:tcBorders>
          </w:tcPr>
          <w:p w14:paraId="0FAA8536" w14:textId="77777777" w:rsidR="00AD699D" w:rsidRDefault="00000000">
            <w:pPr>
              <w:jc w:val="right"/>
            </w:pPr>
            <w:r>
              <w:rPr>
                <w:rFonts w:ascii="Consolas" w:hAnsi="Consolas"/>
                <w:b/>
                <w:color w:val="0E6B57"/>
                <w:sz w:val="24"/>
              </w:rPr>
              <w:t xml:space="preserve">PKR </w:t>
            </w:r>
            <w:r w:rsidR="00B32643">
              <w:rPr>
                <w:rFonts w:ascii="Consolas" w:hAnsi="Consolas"/>
                <w:b/>
                <w:color w:val="0E6B57"/>
                <w:sz w:val="24"/>
              </w:rPr>
              <w:t>7</w:t>
            </w:r>
            <w:r>
              <w:rPr>
                <w:rFonts w:ascii="Consolas" w:hAnsi="Consolas"/>
                <w:b/>
                <w:color w:val="0E6B57"/>
                <w:sz w:val="24"/>
              </w:rPr>
              <w:t>8,000</w:t>
            </w:r>
          </w:p>
        </w:tc>
      </w:tr>
    </w:tbl>
    <w:p w14:paraId="757D033F" w14:textId="77777777" w:rsidR="00AD699D" w:rsidRDefault="00AD699D">
      <w:pPr>
        <w:spacing w:after="40"/>
      </w:pPr>
    </w:p>
    <w:p w14:paraId="57F28B89" w14:textId="77777777" w:rsidR="00AD699D" w:rsidRDefault="00000000">
      <w:pPr>
        <w:spacing w:before="240" w:after="80"/>
      </w:pPr>
      <w:r>
        <w:rPr>
          <w:rFonts w:ascii="Consolas" w:hAnsi="Consolas"/>
          <w:b/>
          <w:color w:val="8A9285"/>
          <w:sz w:val="18"/>
        </w:rPr>
        <w:t>GROWTH TIER — ~500–3,000 EXAMS/MONTH, AUTOSCALED WORKERS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768"/>
        <w:gridCol w:w="2304"/>
      </w:tblGrid>
      <w:tr w:rsidR="00AD699D" w14:paraId="4D2DAF44" w14:textId="77777777">
        <w:tc>
          <w:tcPr>
            <w:tcW w:w="6768" w:type="dxa"/>
            <w:tcBorders>
              <w:bottom w:val="single" w:sz="10" w:space="0" w:color="C6C0AA"/>
            </w:tcBorders>
          </w:tcPr>
          <w:p w14:paraId="0EDFE628" w14:textId="77777777" w:rsidR="00AD699D" w:rsidRDefault="00000000">
            <w:r>
              <w:rPr>
                <w:b/>
                <w:color w:val="8A9285"/>
                <w:sz w:val="17"/>
              </w:rPr>
              <w:t>Deliverable</w:t>
            </w:r>
          </w:p>
        </w:tc>
        <w:tc>
          <w:tcPr>
            <w:tcW w:w="2304" w:type="dxa"/>
            <w:tcBorders>
              <w:bottom w:val="single" w:sz="10" w:space="0" w:color="C6C0AA"/>
            </w:tcBorders>
          </w:tcPr>
          <w:p w14:paraId="3E8D48C6" w14:textId="77777777" w:rsidR="00AD699D" w:rsidRDefault="00000000">
            <w:pPr>
              <w:jc w:val="right"/>
            </w:pPr>
            <w:r>
              <w:rPr>
                <w:b/>
                <w:color w:val="8A9285"/>
                <w:sz w:val="17"/>
              </w:rPr>
              <w:t>Cost (PKR)</w:t>
            </w:r>
          </w:p>
        </w:tc>
      </w:tr>
      <w:tr w:rsidR="00AD699D" w14:paraId="3F28CC94" w14:textId="77777777">
        <w:tc>
          <w:tcPr>
            <w:tcW w:w="6768" w:type="dxa"/>
            <w:tcBorders>
              <w:bottom w:val="single" w:sz="4" w:space="0" w:color="DEDACB"/>
            </w:tcBorders>
          </w:tcPr>
          <w:p w14:paraId="6CA9ADA6" w14:textId="77777777" w:rsidR="00AD699D" w:rsidRDefault="00000000">
            <w:r>
              <w:rPr>
                <w:b/>
                <w:color w:val="1C2620"/>
                <w:sz w:val="20"/>
              </w:rPr>
              <w:t>2–3 app/worker nodes behind a load balancer</w:t>
            </w:r>
          </w:p>
        </w:tc>
        <w:tc>
          <w:tcPr>
            <w:tcW w:w="2304" w:type="dxa"/>
            <w:tcBorders>
              <w:bottom w:val="single" w:sz="4" w:space="0" w:color="DEDACB"/>
            </w:tcBorders>
          </w:tcPr>
          <w:p w14:paraId="4477B35D" w14:textId="77777777" w:rsidR="00AD699D" w:rsidRDefault="00AD699D">
            <w:pPr>
              <w:jc w:val="right"/>
            </w:pPr>
          </w:p>
        </w:tc>
      </w:tr>
      <w:tr w:rsidR="00AD699D" w14:paraId="36BD63C7" w14:textId="77777777">
        <w:tc>
          <w:tcPr>
            <w:tcW w:w="6768" w:type="dxa"/>
            <w:tcBorders>
              <w:bottom w:val="single" w:sz="4" w:space="0" w:color="DEDACB"/>
            </w:tcBorders>
          </w:tcPr>
          <w:p w14:paraId="1B3D22C8" w14:textId="77777777" w:rsidR="00AD699D" w:rsidRDefault="00000000">
            <w:r>
              <w:rPr>
                <w:b/>
                <w:color w:val="1C2620"/>
                <w:sz w:val="20"/>
              </w:rPr>
              <w:lastRenderedPageBreak/>
              <w:t>Managed PostgreSQL + pgvector (higher tier)</w:t>
            </w:r>
          </w:p>
        </w:tc>
        <w:tc>
          <w:tcPr>
            <w:tcW w:w="2304" w:type="dxa"/>
            <w:tcBorders>
              <w:bottom w:val="single" w:sz="4" w:space="0" w:color="DEDACB"/>
            </w:tcBorders>
          </w:tcPr>
          <w:p w14:paraId="136C2468" w14:textId="77777777" w:rsidR="00AD699D" w:rsidRDefault="00AD699D">
            <w:pPr>
              <w:jc w:val="right"/>
            </w:pPr>
          </w:p>
        </w:tc>
      </w:tr>
      <w:tr w:rsidR="00AD699D" w14:paraId="6D10DF87" w14:textId="77777777">
        <w:tc>
          <w:tcPr>
            <w:tcW w:w="6768" w:type="dxa"/>
            <w:tcBorders>
              <w:bottom w:val="single" w:sz="4" w:space="0" w:color="DEDACB"/>
            </w:tcBorders>
          </w:tcPr>
          <w:p w14:paraId="1AA99366" w14:textId="77777777" w:rsidR="00AD699D" w:rsidRDefault="00000000">
            <w:r>
              <w:rPr>
                <w:b/>
                <w:color w:val="1C2620"/>
                <w:sz w:val="20"/>
              </w:rPr>
              <w:t>Redis (managed, HA)</w:t>
            </w:r>
          </w:p>
        </w:tc>
        <w:tc>
          <w:tcPr>
            <w:tcW w:w="2304" w:type="dxa"/>
            <w:tcBorders>
              <w:bottom w:val="single" w:sz="4" w:space="0" w:color="DEDACB"/>
            </w:tcBorders>
          </w:tcPr>
          <w:p w14:paraId="76887C2E" w14:textId="77777777" w:rsidR="00AD699D" w:rsidRDefault="00AD699D">
            <w:pPr>
              <w:jc w:val="right"/>
            </w:pPr>
          </w:p>
        </w:tc>
      </w:tr>
      <w:tr w:rsidR="00AD699D" w14:paraId="2DB75AE4" w14:textId="77777777">
        <w:tc>
          <w:tcPr>
            <w:tcW w:w="6768" w:type="dxa"/>
            <w:tcBorders>
              <w:bottom w:val="single" w:sz="4" w:space="0" w:color="DEDACB"/>
            </w:tcBorders>
          </w:tcPr>
          <w:p w14:paraId="3B5C30C2" w14:textId="77777777" w:rsidR="00AD699D" w:rsidRDefault="00000000">
            <w:r>
              <w:rPr>
                <w:b/>
                <w:color w:val="1C2620"/>
                <w:sz w:val="20"/>
              </w:rPr>
              <w:t>Object storage + egress at higher volume</w:t>
            </w:r>
          </w:p>
        </w:tc>
        <w:tc>
          <w:tcPr>
            <w:tcW w:w="2304" w:type="dxa"/>
            <w:tcBorders>
              <w:bottom w:val="single" w:sz="4" w:space="0" w:color="DEDACB"/>
            </w:tcBorders>
          </w:tcPr>
          <w:p w14:paraId="5AC75FE9" w14:textId="77777777" w:rsidR="00AD699D" w:rsidRDefault="00AD699D">
            <w:pPr>
              <w:jc w:val="right"/>
            </w:pPr>
          </w:p>
        </w:tc>
      </w:tr>
      <w:tr w:rsidR="00AD699D" w14:paraId="7C03A589" w14:textId="77777777">
        <w:tc>
          <w:tcPr>
            <w:tcW w:w="6768" w:type="dxa"/>
            <w:tcBorders>
              <w:bottom w:val="single" w:sz="4" w:space="0" w:color="DEDACB"/>
            </w:tcBorders>
          </w:tcPr>
          <w:p w14:paraId="6E26B039" w14:textId="77777777" w:rsidR="00AD699D" w:rsidRDefault="00000000">
            <w:r>
              <w:rPr>
                <w:b/>
                <w:color w:val="1C2620"/>
                <w:sz w:val="20"/>
              </w:rPr>
              <w:t>Monitoring, error tracking &amp; log retention</w:t>
            </w:r>
          </w:p>
        </w:tc>
        <w:tc>
          <w:tcPr>
            <w:tcW w:w="2304" w:type="dxa"/>
            <w:tcBorders>
              <w:bottom w:val="single" w:sz="4" w:space="0" w:color="DEDACB"/>
            </w:tcBorders>
          </w:tcPr>
          <w:p w14:paraId="5D435AEA" w14:textId="77777777" w:rsidR="00AD699D" w:rsidRDefault="00AD699D">
            <w:pPr>
              <w:jc w:val="right"/>
            </w:pPr>
          </w:p>
        </w:tc>
      </w:tr>
      <w:tr w:rsidR="00AD699D" w14:paraId="06382B5D" w14:textId="77777777">
        <w:tc>
          <w:tcPr>
            <w:tcW w:w="6768" w:type="dxa"/>
            <w:tcBorders>
              <w:top w:val="single" w:sz="14" w:space="0" w:color="1C2620"/>
            </w:tcBorders>
          </w:tcPr>
          <w:p w14:paraId="32F27381" w14:textId="77777777" w:rsidR="00AD699D" w:rsidRDefault="00000000">
            <w:r>
              <w:rPr>
                <w:b/>
                <w:color w:val="1C2620"/>
              </w:rPr>
              <w:t>Estimated monthly hosting</w:t>
            </w:r>
          </w:p>
        </w:tc>
        <w:tc>
          <w:tcPr>
            <w:tcW w:w="2304" w:type="dxa"/>
            <w:tcBorders>
              <w:top w:val="single" w:sz="14" w:space="0" w:color="1C2620"/>
            </w:tcBorders>
          </w:tcPr>
          <w:p w14:paraId="1A45E393" w14:textId="77777777" w:rsidR="00AD699D" w:rsidRDefault="00000000">
            <w:pPr>
              <w:jc w:val="right"/>
            </w:pPr>
            <w:r>
              <w:rPr>
                <w:rFonts w:ascii="Consolas" w:hAnsi="Consolas"/>
                <w:b/>
                <w:color w:val="0E6B57"/>
                <w:sz w:val="24"/>
              </w:rPr>
              <w:t>PKR 156,000</w:t>
            </w:r>
          </w:p>
        </w:tc>
      </w:tr>
    </w:tbl>
    <w:p w14:paraId="33E441AA" w14:textId="77777777" w:rsidR="00AD699D" w:rsidRDefault="00AD699D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AD699D" w14:paraId="65C1BB5A" w14:textId="77777777">
        <w:tc>
          <w:tcPr>
            <w:tcW w:w="9746" w:type="dxa"/>
            <w:shd w:val="clear" w:color="auto" w:fill="F5E7D6"/>
          </w:tcPr>
          <w:p w14:paraId="56B7D70C" w14:textId="77777777" w:rsidR="00AD699D" w:rsidRDefault="00000000">
            <w:pPr>
              <w:spacing w:before="80" w:after="80"/>
            </w:pPr>
            <w:r>
              <w:rPr>
                <w:i/>
                <w:sz w:val="19"/>
              </w:rPr>
              <w:t>Hosting is billed at cost, pass-through — we don't mark up infrastructure. Send us a rough monthly exam count and we'll confirm the right tier before launch.</w:t>
            </w:r>
          </w:p>
        </w:tc>
      </w:tr>
    </w:tbl>
    <w:p w14:paraId="543D5D49" w14:textId="77777777" w:rsidR="00AD699D" w:rsidRDefault="00AD699D">
      <w:pPr>
        <w:spacing w:after="40"/>
      </w:pPr>
    </w:p>
    <w:p w14:paraId="5130A172" w14:textId="77777777" w:rsidR="00AD699D" w:rsidRDefault="00000000">
      <w:pPr>
        <w:keepNext/>
        <w:pBdr>
          <w:bottom w:val="single" w:sz="4" w:space="6" w:color="DEDACB"/>
        </w:pBdr>
        <w:spacing w:before="520"/>
      </w:pPr>
      <w:r>
        <w:rPr>
          <w:rFonts w:ascii="Consolas" w:hAnsi="Consolas"/>
          <w:b/>
          <w:color w:val="0E6B57"/>
          <w:sz w:val="22"/>
        </w:rPr>
        <w:t>0</w:t>
      </w:r>
      <w:r w:rsidR="00B32643">
        <w:rPr>
          <w:rFonts w:ascii="Consolas" w:hAnsi="Consolas"/>
          <w:b/>
          <w:color w:val="0E6B57"/>
          <w:sz w:val="22"/>
        </w:rPr>
        <w:t>5</w:t>
      </w:r>
      <w:r>
        <w:rPr>
          <w:rFonts w:ascii="Consolas" w:hAnsi="Consolas"/>
          <w:b/>
          <w:color w:val="0E6B57"/>
          <w:sz w:val="22"/>
        </w:rPr>
        <w:t xml:space="preserve">   </w:t>
      </w:r>
      <w:r>
        <w:rPr>
          <w:rFonts w:ascii="Georgia" w:hAnsi="Georgia"/>
          <w:b/>
          <w:color w:val="1C2620"/>
          <w:sz w:val="34"/>
        </w:rPr>
        <w:t>Service-level agreement</w:t>
      </w:r>
    </w:p>
    <w:p w14:paraId="51AE69C8" w14:textId="77777777" w:rsidR="00607FD5" w:rsidRDefault="00000000">
      <w:pPr>
        <w:spacing w:after="160"/>
      </w:pPr>
      <w:r>
        <w:rPr>
          <w:sz w:val="22"/>
        </w:rPr>
        <w:t>The sustainable way to offer a penalty-backed SLA under per-hit pricing is to separate the cost of availability from the cost of usage — the same structure AWS and Azure use for enterprise contracts. A fixed platform fee funds the guarantee; usage is billed on top of it.</w:t>
      </w:r>
    </w:p>
    <w:p w14:paraId="2B1CEF8E" w14:textId="77777777" w:rsidR="00607FD5" w:rsidRDefault="00000000">
      <w:pPr>
        <w:spacing w:before="280" w:after="80"/>
      </w:pPr>
      <w:r>
        <w:rPr>
          <w:rFonts w:ascii="Georgia" w:hAnsi="Georgia"/>
          <w:b/>
          <w:color w:val="0E6B57"/>
          <w:sz w:val="24"/>
        </w:rPr>
        <w:t>Platform fee + usage</w:t>
      </w:r>
    </w:p>
    <w:p w14:paraId="101EE285" w14:textId="54804FDA" w:rsidR="00607FD5" w:rsidRDefault="00000000">
      <w:pPr>
        <w:spacing w:after="160"/>
      </w:pPr>
      <w:r>
        <w:t>The Platform/SLA fee is a recurring fixed charge that guarantees Safe Pakistan's access to the system, covers our fixed server and maintenance cost, and formally activates the SLA — uptime guarantee, a dedicated support channel, and the response times below. The per-hit fee is billed on top, for actual consumption.</w:t>
      </w:r>
      <w:r w:rsidR="008A328E">
        <w:t xml:space="preserve"> The Platform SLA fees will increment by 10% per year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744"/>
        <w:gridCol w:w="2160"/>
        <w:gridCol w:w="3168"/>
      </w:tblGrid>
      <w:tr w:rsidR="00607FD5" w14:paraId="09E8A580" w14:textId="77777777">
        <w:tc>
          <w:tcPr>
            <w:tcW w:w="3744" w:type="dxa"/>
            <w:tcBorders>
              <w:bottom w:val="single" w:sz="10" w:space="0" w:color="C6C0AA"/>
            </w:tcBorders>
          </w:tcPr>
          <w:p w14:paraId="0BE4CA2F" w14:textId="77777777" w:rsidR="00607FD5" w:rsidRDefault="00000000">
            <w:r>
              <w:rPr>
                <w:b/>
                <w:color w:val="8A9285"/>
                <w:sz w:val="17"/>
              </w:rPr>
              <w:t>Component</w:t>
            </w:r>
          </w:p>
        </w:tc>
        <w:tc>
          <w:tcPr>
            <w:tcW w:w="2160" w:type="dxa"/>
            <w:tcBorders>
              <w:bottom w:val="single" w:sz="10" w:space="0" w:color="C6C0AA"/>
            </w:tcBorders>
          </w:tcPr>
          <w:p w14:paraId="632D1396" w14:textId="77777777" w:rsidR="00607FD5" w:rsidRDefault="00000000">
            <w:pPr>
              <w:jc w:val="right"/>
            </w:pPr>
            <w:r>
              <w:rPr>
                <w:b/>
                <w:color w:val="8A9285"/>
                <w:sz w:val="17"/>
              </w:rPr>
              <w:t>Rate</w:t>
            </w:r>
          </w:p>
        </w:tc>
        <w:tc>
          <w:tcPr>
            <w:tcW w:w="3168" w:type="dxa"/>
            <w:tcBorders>
              <w:bottom w:val="single" w:sz="10" w:space="0" w:color="C6C0AA"/>
            </w:tcBorders>
          </w:tcPr>
          <w:p w14:paraId="53554944" w14:textId="77777777" w:rsidR="00607FD5" w:rsidRDefault="00000000">
            <w:r>
              <w:rPr>
                <w:b/>
                <w:color w:val="8A9285"/>
                <w:sz w:val="17"/>
              </w:rPr>
              <w:t>Basis</w:t>
            </w:r>
          </w:p>
        </w:tc>
      </w:tr>
      <w:tr w:rsidR="00607FD5" w14:paraId="1DE8EB4C" w14:textId="77777777">
        <w:tc>
          <w:tcPr>
            <w:tcW w:w="3744" w:type="dxa"/>
            <w:tcBorders>
              <w:bottom w:val="single" w:sz="4" w:space="0" w:color="DEDACB"/>
            </w:tcBorders>
          </w:tcPr>
          <w:p w14:paraId="3D21D347" w14:textId="77777777" w:rsidR="00607FD5" w:rsidRDefault="00000000">
            <w:r>
              <w:rPr>
                <w:b/>
                <w:color w:val="1C2620"/>
                <w:sz w:val="20"/>
              </w:rPr>
              <w:t>Platform / SLA fee</w:t>
            </w:r>
          </w:p>
        </w:tc>
        <w:tc>
          <w:tcPr>
            <w:tcW w:w="2160" w:type="dxa"/>
            <w:tcBorders>
              <w:bottom w:val="single" w:sz="4" w:space="0" w:color="DEDACB"/>
            </w:tcBorders>
          </w:tcPr>
          <w:p w14:paraId="55B311F9" w14:textId="272D61DB" w:rsidR="00607FD5" w:rsidRDefault="00000000">
            <w:pPr>
              <w:jc w:val="right"/>
            </w:pPr>
            <w:r>
              <w:rPr>
                <w:rFonts w:ascii="Consolas" w:hAnsi="Consolas"/>
                <w:b/>
                <w:color w:val="0E6B57"/>
                <w:sz w:val="20"/>
              </w:rPr>
              <w:t xml:space="preserve">PKR </w:t>
            </w:r>
            <w:r w:rsidR="00606DB7">
              <w:rPr>
                <w:rFonts w:ascii="Consolas" w:hAnsi="Consolas"/>
                <w:b/>
                <w:color w:val="0E6B57"/>
                <w:sz w:val="20"/>
              </w:rPr>
              <w:t>3</w:t>
            </w:r>
            <w:r>
              <w:rPr>
                <w:rFonts w:ascii="Consolas" w:hAnsi="Consolas"/>
                <w:b/>
                <w:color w:val="0E6B57"/>
                <w:sz w:val="20"/>
              </w:rPr>
              <w:t>50,000/mo</w:t>
            </w:r>
            <w:r w:rsidR="008A328E">
              <w:rPr>
                <w:rFonts w:ascii="Consolas" w:hAnsi="Consolas"/>
                <w:b/>
                <w:color w:val="0E6B57"/>
                <w:sz w:val="20"/>
              </w:rPr>
              <w:t>nth</w:t>
            </w:r>
          </w:p>
        </w:tc>
        <w:tc>
          <w:tcPr>
            <w:tcW w:w="3168" w:type="dxa"/>
            <w:tcBorders>
              <w:bottom w:val="single" w:sz="4" w:space="0" w:color="DEDACB"/>
            </w:tcBorders>
          </w:tcPr>
          <w:p w14:paraId="51C56CBA" w14:textId="77777777" w:rsidR="00607FD5" w:rsidRDefault="00000000">
            <w:r>
              <w:rPr>
                <w:sz w:val="18"/>
              </w:rPr>
              <w:t>Fixed — activates the SLA below</w:t>
            </w:r>
          </w:p>
        </w:tc>
      </w:tr>
      <w:tr w:rsidR="00607FD5" w14:paraId="0110559C" w14:textId="77777777">
        <w:tc>
          <w:tcPr>
            <w:tcW w:w="3744" w:type="dxa"/>
            <w:tcBorders>
              <w:bottom w:val="single" w:sz="4" w:space="0" w:color="DEDACB"/>
            </w:tcBorders>
          </w:tcPr>
          <w:p w14:paraId="0B978047" w14:textId="089F4FBC" w:rsidR="00607FD5" w:rsidRDefault="007B1A78">
            <w:r>
              <w:rPr>
                <w:b/>
                <w:color w:val="1C2620"/>
                <w:sz w:val="20"/>
              </w:rPr>
              <w:t>KYC + Live monitoring</w:t>
            </w:r>
          </w:p>
        </w:tc>
        <w:tc>
          <w:tcPr>
            <w:tcW w:w="2160" w:type="dxa"/>
            <w:tcBorders>
              <w:bottom w:val="single" w:sz="4" w:space="0" w:color="DEDACB"/>
            </w:tcBorders>
          </w:tcPr>
          <w:p w14:paraId="4E20EA13" w14:textId="1BAFDF7E" w:rsidR="00607FD5" w:rsidRDefault="00000000">
            <w:pPr>
              <w:jc w:val="right"/>
            </w:pPr>
            <w:r>
              <w:rPr>
                <w:rFonts w:ascii="Consolas" w:hAnsi="Consolas"/>
                <w:b/>
                <w:color w:val="0E6B57"/>
                <w:sz w:val="20"/>
              </w:rPr>
              <w:t xml:space="preserve">PKR </w:t>
            </w:r>
            <w:r w:rsidR="00C930B5">
              <w:rPr>
                <w:rFonts w:ascii="Consolas" w:hAnsi="Consolas"/>
                <w:b/>
                <w:color w:val="0E6B57"/>
                <w:sz w:val="20"/>
              </w:rPr>
              <w:t>5</w:t>
            </w:r>
            <w:r w:rsidR="007B1A78">
              <w:rPr>
                <w:rFonts w:ascii="Consolas" w:hAnsi="Consolas"/>
                <w:b/>
                <w:color w:val="0E6B57"/>
                <w:sz w:val="20"/>
              </w:rPr>
              <w:t>00</w:t>
            </w:r>
            <w:r>
              <w:rPr>
                <w:rFonts w:ascii="Consolas" w:hAnsi="Consolas"/>
                <w:b/>
                <w:color w:val="0E6B57"/>
                <w:sz w:val="20"/>
              </w:rPr>
              <w:t>/</w:t>
            </w:r>
            <w:r w:rsidR="007B1A78">
              <w:rPr>
                <w:rFonts w:ascii="Consolas" w:hAnsi="Consolas"/>
                <w:b/>
                <w:color w:val="0E6B57"/>
                <w:sz w:val="20"/>
              </w:rPr>
              <w:t>user</w:t>
            </w:r>
          </w:p>
        </w:tc>
        <w:tc>
          <w:tcPr>
            <w:tcW w:w="3168" w:type="dxa"/>
            <w:tcBorders>
              <w:bottom w:val="single" w:sz="4" w:space="0" w:color="DEDACB"/>
            </w:tcBorders>
          </w:tcPr>
          <w:p w14:paraId="5FC0C347" w14:textId="4649ACB8" w:rsidR="00607FD5" w:rsidRDefault="00000000">
            <w:r>
              <w:rPr>
                <w:sz w:val="18"/>
              </w:rPr>
              <w:t>Per candidate</w:t>
            </w:r>
            <w:r w:rsidR="007B1A78">
              <w:rPr>
                <w:sz w:val="18"/>
              </w:rPr>
              <w:t xml:space="preserve"> per month</w:t>
            </w:r>
          </w:p>
        </w:tc>
      </w:tr>
    </w:tbl>
    <w:p w14:paraId="1503F60A" w14:textId="77777777" w:rsidR="00607FD5" w:rsidRDefault="00607FD5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607FD5" w14:paraId="03519C28" w14:textId="77777777">
        <w:tc>
          <w:tcPr>
            <w:tcW w:w="9746" w:type="dxa"/>
            <w:shd w:val="clear" w:color="auto" w:fill="F5E7D6"/>
          </w:tcPr>
          <w:p w14:paraId="54029D19" w14:textId="77777777" w:rsidR="00607FD5" w:rsidRDefault="00000000">
            <w:pPr>
              <w:spacing w:before="80" w:after="80"/>
            </w:pPr>
            <w:r>
              <w:rPr>
                <w:i/>
                <w:sz w:val="19"/>
              </w:rPr>
              <w:t>Rates shown are a starting point, not a quote — final base fee and per-hit pricing should be sized against your confirmed monthly candidate volume once you have it.</w:t>
            </w:r>
          </w:p>
        </w:tc>
      </w:tr>
    </w:tbl>
    <w:p w14:paraId="6CE0565D" w14:textId="77777777" w:rsidR="00607FD5" w:rsidRDefault="00607FD5">
      <w:pPr>
        <w:spacing w:after="40"/>
      </w:pPr>
    </w:p>
    <w:p w14:paraId="755E1197" w14:textId="77777777" w:rsidR="00607FD5" w:rsidRDefault="00000000">
      <w:pPr>
        <w:spacing w:before="280" w:after="80"/>
      </w:pPr>
      <w:r>
        <w:rPr>
          <w:rFonts w:ascii="Georgia" w:hAnsi="Georgia"/>
          <w:b/>
          <w:color w:val="0E6B57"/>
          <w:sz w:val="24"/>
        </w:rPr>
        <w:t>SLA metrics this activates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607FD5" w14:paraId="5C381456" w14:textId="77777777">
        <w:tc>
          <w:tcPr>
            <w:tcW w:w="3024" w:type="dxa"/>
          </w:tcPr>
          <w:p w14:paraId="34D5BC87" w14:textId="77777777" w:rsidR="00607FD5" w:rsidRDefault="00000000">
            <w:r>
              <w:rPr>
                <w:rFonts w:ascii="Consolas" w:hAnsi="Consolas"/>
                <w:b/>
                <w:color w:val="0E6B57"/>
                <w:sz w:val="36"/>
              </w:rPr>
              <w:t>99.5%</w:t>
            </w:r>
          </w:p>
        </w:tc>
        <w:tc>
          <w:tcPr>
            <w:tcW w:w="3024" w:type="dxa"/>
          </w:tcPr>
          <w:p w14:paraId="06AE4576" w14:textId="77777777" w:rsidR="00607FD5" w:rsidRDefault="00000000">
            <w:r>
              <w:rPr>
                <w:rFonts w:ascii="Consolas" w:hAnsi="Consolas"/>
                <w:b/>
                <w:color w:val="0E6B57"/>
                <w:sz w:val="36"/>
              </w:rPr>
              <w:t>&lt; 10s</w:t>
            </w:r>
          </w:p>
        </w:tc>
        <w:tc>
          <w:tcPr>
            <w:tcW w:w="3024" w:type="dxa"/>
          </w:tcPr>
          <w:p w14:paraId="66AB7F1B" w14:textId="77777777" w:rsidR="00607FD5" w:rsidRDefault="00000000">
            <w:r>
              <w:rPr>
                <w:rFonts w:ascii="Consolas" w:hAnsi="Consolas"/>
                <w:b/>
                <w:color w:val="0E6B57"/>
                <w:sz w:val="36"/>
              </w:rPr>
              <w:t>90 days</w:t>
            </w:r>
          </w:p>
        </w:tc>
      </w:tr>
      <w:tr w:rsidR="00607FD5" w14:paraId="775445A7" w14:textId="77777777">
        <w:tc>
          <w:tcPr>
            <w:tcW w:w="3024" w:type="dxa"/>
          </w:tcPr>
          <w:p w14:paraId="6E7105CD" w14:textId="77777777" w:rsidR="00607FD5" w:rsidRDefault="00000000">
            <w:r>
              <w:rPr>
                <w:color w:val="8A9285"/>
                <w:sz w:val="17"/>
              </w:rPr>
              <w:t>Uptime target, measured monthly</w:t>
            </w:r>
          </w:p>
        </w:tc>
        <w:tc>
          <w:tcPr>
            <w:tcW w:w="3024" w:type="dxa"/>
          </w:tcPr>
          <w:p w14:paraId="00F86C28" w14:textId="77777777" w:rsidR="00607FD5" w:rsidRDefault="00000000">
            <w:r>
              <w:rPr>
                <w:color w:val="8A9285"/>
                <w:sz w:val="17"/>
              </w:rPr>
              <w:t>95% of KYC checks processed within</w:t>
            </w:r>
          </w:p>
        </w:tc>
        <w:tc>
          <w:tcPr>
            <w:tcW w:w="3024" w:type="dxa"/>
          </w:tcPr>
          <w:p w14:paraId="5559F68C" w14:textId="77777777" w:rsidR="00607FD5" w:rsidRDefault="00000000">
            <w:r>
              <w:rPr>
                <w:color w:val="8A9285"/>
                <w:sz w:val="17"/>
              </w:rPr>
              <w:t>Snapshot retention before cold storage</w:t>
            </w:r>
          </w:p>
        </w:tc>
      </w:tr>
    </w:tbl>
    <w:p w14:paraId="77011971" w14:textId="77777777" w:rsidR="00607FD5" w:rsidRDefault="00607FD5">
      <w:pPr>
        <w:spacing w:after="1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049"/>
        <w:gridCol w:w="3741"/>
        <w:gridCol w:w="2073"/>
        <w:gridCol w:w="2099"/>
      </w:tblGrid>
      <w:tr w:rsidR="00607FD5" w14:paraId="255086DD" w14:textId="77777777">
        <w:tc>
          <w:tcPr>
            <w:tcW w:w="1152" w:type="dxa"/>
          </w:tcPr>
          <w:p w14:paraId="0039F4F9" w14:textId="77777777" w:rsidR="00607FD5" w:rsidRDefault="00000000">
            <w:r>
              <w:rPr>
                <w:b/>
                <w:color w:val="8A9285"/>
                <w:sz w:val="17"/>
              </w:rPr>
              <w:t>Severity</w:t>
            </w:r>
          </w:p>
        </w:tc>
        <w:tc>
          <w:tcPr>
            <w:tcW w:w="4464" w:type="dxa"/>
          </w:tcPr>
          <w:p w14:paraId="4A779DBE" w14:textId="77777777" w:rsidR="00607FD5" w:rsidRDefault="00000000">
            <w:r>
              <w:rPr>
                <w:b/>
                <w:color w:val="8A9285"/>
                <w:sz w:val="17"/>
              </w:rPr>
              <w:t>Definition</w:t>
            </w:r>
          </w:p>
        </w:tc>
        <w:tc>
          <w:tcPr>
            <w:tcW w:w="1584" w:type="dxa"/>
          </w:tcPr>
          <w:p w14:paraId="69EB5F15" w14:textId="77777777" w:rsidR="00607FD5" w:rsidRDefault="00000000">
            <w:r>
              <w:rPr>
                <w:b/>
                <w:color w:val="8A9285"/>
                <w:sz w:val="17"/>
              </w:rPr>
              <w:t>Response</w:t>
            </w:r>
          </w:p>
        </w:tc>
        <w:tc>
          <w:tcPr>
            <w:tcW w:w="1872" w:type="dxa"/>
          </w:tcPr>
          <w:p w14:paraId="05ABA7C9" w14:textId="77777777" w:rsidR="00607FD5" w:rsidRDefault="00000000">
            <w:r>
              <w:rPr>
                <w:b/>
                <w:color w:val="8A9285"/>
                <w:sz w:val="17"/>
              </w:rPr>
              <w:t>Target resolution</w:t>
            </w:r>
          </w:p>
        </w:tc>
      </w:tr>
      <w:tr w:rsidR="00607FD5" w14:paraId="6A4A12E2" w14:textId="77777777">
        <w:tc>
          <w:tcPr>
            <w:tcW w:w="2436" w:type="dxa"/>
          </w:tcPr>
          <w:p w14:paraId="1D5292A5" w14:textId="77777777" w:rsidR="00607FD5" w:rsidRDefault="00000000">
            <w:r>
              <w:rPr>
                <w:b/>
                <w:color w:val="A8412D"/>
                <w:sz w:val="19"/>
              </w:rPr>
              <w:lastRenderedPageBreak/>
              <w:t>P1</w:t>
            </w:r>
          </w:p>
        </w:tc>
        <w:tc>
          <w:tcPr>
            <w:tcW w:w="2436" w:type="dxa"/>
          </w:tcPr>
          <w:p w14:paraId="03D08CED" w14:textId="77777777" w:rsidR="00607FD5" w:rsidRDefault="00000000">
            <w:r>
              <w:rPr>
                <w:sz w:val="19"/>
              </w:rPr>
              <w:t>Platform down, or KYC/proctoring failing during a live exam window</w:t>
            </w:r>
          </w:p>
        </w:tc>
        <w:tc>
          <w:tcPr>
            <w:tcW w:w="2436" w:type="dxa"/>
          </w:tcPr>
          <w:p w14:paraId="72BB106C" w14:textId="77777777" w:rsidR="00607FD5" w:rsidRDefault="00000000">
            <w:r>
              <w:rPr>
                <w:sz w:val="19"/>
              </w:rPr>
              <w:t>4 hrs</w:t>
            </w:r>
          </w:p>
        </w:tc>
        <w:tc>
          <w:tcPr>
            <w:tcW w:w="2436" w:type="dxa"/>
          </w:tcPr>
          <w:p w14:paraId="0D720582" w14:textId="77777777" w:rsidR="00607FD5" w:rsidRDefault="00000000">
            <w:r>
              <w:rPr>
                <w:sz w:val="19"/>
              </w:rPr>
              <w:t>8 hrs</w:t>
            </w:r>
          </w:p>
        </w:tc>
      </w:tr>
      <w:tr w:rsidR="00607FD5" w14:paraId="0240C6B3" w14:textId="77777777">
        <w:tc>
          <w:tcPr>
            <w:tcW w:w="2436" w:type="dxa"/>
          </w:tcPr>
          <w:p w14:paraId="36C34CF5" w14:textId="77777777" w:rsidR="00607FD5" w:rsidRDefault="00000000">
            <w:r>
              <w:rPr>
                <w:b/>
                <w:color w:val="B5722B"/>
                <w:sz w:val="19"/>
              </w:rPr>
              <w:t>P2</w:t>
            </w:r>
          </w:p>
        </w:tc>
        <w:tc>
          <w:tcPr>
            <w:tcW w:w="2436" w:type="dxa"/>
          </w:tcPr>
          <w:p w14:paraId="7D6C1935" w14:textId="77777777" w:rsidR="00607FD5" w:rsidRDefault="00000000">
            <w:r>
              <w:rPr>
                <w:sz w:val="19"/>
              </w:rPr>
              <w:t>Degraded feature outside an active exam window (dashboard, exports)</w:t>
            </w:r>
          </w:p>
        </w:tc>
        <w:tc>
          <w:tcPr>
            <w:tcW w:w="2436" w:type="dxa"/>
          </w:tcPr>
          <w:p w14:paraId="37100E06" w14:textId="77777777" w:rsidR="00607FD5" w:rsidRDefault="00000000">
            <w:r>
              <w:rPr>
                <w:sz w:val="19"/>
              </w:rPr>
              <w:t>1 business day</w:t>
            </w:r>
          </w:p>
        </w:tc>
        <w:tc>
          <w:tcPr>
            <w:tcW w:w="2436" w:type="dxa"/>
          </w:tcPr>
          <w:p w14:paraId="7DF6DB1C" w14:textId="77777777" w:rsidR="00607FD5" w:rsidRDefault="00000000">
            <w:r>
              <w:rPr>
                <w:sz w:val="19"/>
              </w:rPr>
              <w:t>3 business days</w:t>
            </w:r>
          </w:p>
        </w:tc>
      </w:tr>
      <w:tr w:rsidR="00607FD5" w14:paraId="15969475" w14:textId="77777777">
        <w:tc>
          <w:tcPr>
            <w:tcW w:w="2436" w:type="dxa"/>
          </w:tcPr>
          <w:p w14:paraId="0A13685E" w14:textId="77777777" w:rsidR="00607FD5" w:rsidRDefault="00000000">
            <w:r>
              <w:rPr>
                <w:b/>
                <w:color w:val="0E6B57"/>
                <w:sz w:val="19"/>
              </w:rPr>
              <w:t>P3</w:t>
            </w:r>
          </w:p>
        </w:tc>
        <w:tc>
          <w:tcPr>
            <w:tcW w:w="2436" w:type="dxa"/>
          </w:tcPr>
          <w:p w14:paraId="25979F7D" w14:textId="4F0C9DC1" w:rsidR="00607FD5" w:rsidRDefault="00000000">
            <w:r>
              <w:rPr>
                <w:sz w:val="19"/>
              </w:rPr>
              <w:t xml:space="preserve">Minor bug, cosmetic issue, or </w:t>
            </w:r>
            <w:r w:rsidR="00775659">
              <w:rPr>
                <w:sz w:val="19"/>
              </w:rPr>
              <w:t xml:space="preserve">minor </w:t>
            </w:r>
            <w:r>
              <w:rPr>
                <w:sz w:val="19"/>
              </w:rPr>
              <w:t>enhancement request</w:t>
            </w:r>
          </w:p>
        </w:tc>
        <w:tc>
          <w:tcPr>
            <w:tcW w:w="2436" w:type="dxa"/>
          </w:tcPr>
          <w:p w14:paraId="44CE57DD" w14:textId="77777777" w:rsidR="00607FD5" w:rsidRDefault="00000000">
            <w:r>
              <w:rPr>
                <w:sz w:val="19"/>
              </w:rPr>
              <w:t>3 business days</w:t>
            </w:r>
          </w:p>
        </w:tc>
        <w:tc>
          <w:tcPr>
            <w:tcW w:w="2436" w:type="dxa"/>
          </w:tcPr>
          <w:p w14:paraId="3B0DA598" w14:textId="77777777" w:rsidR="00607FD5" w:rsidRDefault="00000000">
            <w:r>
              <w:rPr>
                <w:sz w:val="19"/>
              </w:rPr>
              <w:t>Next scheduled release</w:t>
            </w:r>
          </w:p>
        </w:tc>
      </w:tr>
    </w:tbl>
    <w:p w14:paraId="4CCA16FB" w14:textId="77777777" w:rsidR="00607FD5" w:rsidRDefault="00607FD5">
      <w:pPr>
        <w:spacing w:after="80"/>
      </w:pPr>
    </w:p>
    <w:p w14:paraId="7FE08A26" w14:textId="77777777" w:rsidR="00607FD5" w:rsidRDefault="00000000">
      <w:pPr>
        <w:spacing w:before="280" w:after="80"/>
      </w:pPr>
      <w:r>
        <w:rPr>
          <w:rFonts w:ascii="Georgia" w:hAnsi="Georgia"/>
          <w:b/>
          <w:color w:val="0E6B57"/>
          <w:sz w:val="24"/>
        </w:rPr>
        <w:t>Breach handling — service credits, not refunds</w:t>
      </w:r>
    </w:p>
    <w:p w14:paraId="6420D461" w14:textId="77777777" w:rsidR="00607FD5" w:rsidRDefault="00000000">
      <w:pPr>
        <w:pStyle w:val="ListBullet"/>
        <w:spacing w:after="60"/>
      </w:pPr>
      <w:r>
        <w:rPr>
          <w:sz w:val="20"/>
        </w:rPr>
        <w:t>Uptime breach (below 99.5% in a billing month) is credited as free verification/monitoring hits on the following cycle, sized to the shortfall — not a cash refund.</w:t>
      </w:r>
    </w:p>
    <w:p w14:paraId="5A8081C0" w14:textId="624CA4B8" w:rsidR="00607FD5" w:rsidRDefault="00000000">
      <w:pPr>
        <w:pStyle w:val="ListBullet"/>
        <w:spacing w:after="60"/>
      </w:pPr>
      <w:r>
        <w:rPr>
          <w:sz w:val="20"/>
        </w:rPr>
        <w:t>Latency breach is credited the same way, as credits applied to the next invoice.</w:t>
      </w:r>
    </w:p>
    <w:p w14:paraId="0EFE8DE7" w14:textId="77777777" w:rsidR="00607FD5" w:rsidRDefault="00000000">
      <w:pPr>
        <w:pStyle w:val="ListBullet"/>
        <w:spacing w:after="60"/>
      </w:pPr>
      <w:r>
        <w:rPr>
          <w:sz w:val="20"/>
        </w:rPr>
        <w:t>Credits are calculated against that cycle's actual usage, so the penalty scales with how much you were relying on the platform when it underperformed.</w:t>
      </w:r>
    </w:p>
    <w:p w14:paraId="569680A7" w14:textId="77777777" w:rsidR="00607FD5" w:rsidRDefault="00000000">
      <w:pPr>
        <w:spacing w:before="280" w:after="80"/>
      </w:pPr>
      <w:r>
        <w:rPr>
          <w:rFonts w:ascii="Georgia" w:hAnsi="Georgia"/>
          <w:b/>
          <w:color w:val="0E6B57"/>
          <w:sz w:val="24"/>
        </w:rPr>
        <w:t>Alternative — volume-triggered SLA</w:t>
      </w:r>
    </w:p>
    <w:p w14:paraId="66D2672C" w14:textId="77777777" w:rsidR="00607FD5" w:rsidRDefault="00000000">
      <w:pPr>
        <w:spacing w:after="160"/>
      </w:pPr>
      <w:r>
        <w:t>If a fixed platform fee isn't workable and pure pay-as-you-go is required, the formal SLA can instead be gated behind a usage floor:</w:t>
      </w:r>
    </w:p>
    <w:p w14:paraId="30CD0164" w14:textId="77777777" w:rsidR="00607FD5" w:rsidRDefault="00000000">
      <w:pPr>
        <w:pStyle w:val="ListBullet"/>
        <w:spacing w:after="60"/>
      </w:pPr>
      <w:r>
        <w:rPr>
          <w:sz w:val="20"/>
        </w:rPr>
        <w:t>Below the threshold: best-effort support and uptime, no penalty-backed guarantee, billed purely per hit.</w:t>
      </w:r>
    </w:p>
    <w:p w14:paraId="43BB1D37" w14:textId="77777777" w:rsidR="00607FD5" w:rsidRDefault="00000000">
      <w:pPr>
        <w:pStyle w:val="ListBullet"/>
        <w:spacing w:after="60"/>
      </w:pPr>
      <w:r>
        <w:rPr>
          <w:sz w:val="20"/>
        </w:rPr>
        <w:t>Above the threshold — e.g. 1,000 verification/monitoring hits in a month — the full SLA above (99.5% uptime, response times, service credits) activates automatically for that cycle.</w:t>
      </w:r>
    </w:p>
    <w:p w14:paraId="7C5C902F" w14:textId="77777777" w:rsidR="00607FD5" w:rsidRDefault="00000000">
      <w:pPr>
        <w:pStyle w:val="ListBullet"/>
        <w:spacing w:after="60"/>
      </w:pPr>
      <w:r>
        <w:rPr>
          <w:sz w:val="20"/>
        </w:rPr>
        <w:t>This protects our support capacity at low volume while still giving you a credible, penalty-backed guarantee once the platform is core to your exam operations.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607FD5" w14:paraId="52E80807" w14:textId="77777777">
        <w:tc>
          <w:tcPr>
            <w:tcW w:w="9746" w:type="dxa"/>
            <w:shd w:val="clear" w:color="auto" w:fill="F5E7D6"/>
          </w:tcPr>
          <w:p w14:paraId="061446AD" w14:textId="77777777" w:rsidR="00607FD5" w:rsidRDefault="00000000">
            <w:pPr>
              <w:spacing w:before="80" w:after="80"/>
            </w:pPr>
            <w:r>
              <w:rPr>
                <w:i/>
                <w:sz w:val="19"/>
              </w:rPr>
              <w:t>Open item: we need Safe Pakistan's priority SLA metrics — target uptime, acceptable KYC latency, and required support response times — plus an expected monthly hit volume, to finalize the base fee and per-hit rates rather than assume them.</w:t>
            </w:r>
          </w:p>
        </w:tc>
      </w:tr>
    </w:tbl>
    <w:p w14:paraId="2A88E2B0" w14:textId="77777777" w:rsidR="00607FD5" w:rsidRDefault="00607FD5">
      <w:pPr>
        <w:spacing w:after="40"/>
      </w:pPr>
    </w:p>
    <w:p w14:paraId="606D5439" w14:textId="77777777" w:rsidR="00AD699D" w:rsidRDefault="00000000">
      <w:pPr>
        <w:keepNext/>
        <w:pBdr>
          <w:bottom w:val="single" w:sz="4" w:space="6" w:color="DEDACB"/>
        </w:pBdr>
        <w:spacing w:before="520"/>
      </w:pPr>
      <w:r>
        <w:rPr>
          <w:rFonts w:ascii="Consolas" w:hAnsi="Consolas"/>
          <w:b/>
          <w:color w:val="0E6B57"/>
          <w:sz w:val="22"/>
        </w:rPr>
        <w:t>0</w:t>
      </w:r>
      <w:r w:rsidR="00B32643">
        <w:rPr>
          <w:rFonts w:ascii="Consolas" w:hAnsi="Consolas"/>
          <w:b/>
          <w:color w:val="0E6B57"/>
          <w:sz w:val="22"/>
        </w:rPr>
        <w:t>6</w:t>
      </w:r>
      <w:r>
        <w:rPr>
          <w:rFonts w:ascii="Consolas" w:hAnsi="Consolas"/>
          <w:b/>
          <w:color w:val="0E6B57"/>
          <w:sz w:val="22"/>
        </w:rPr>
        <w:t xml:space="preserve">   </w:t>
      </w:r>
      <w:r>
        <w:rPr>
          <w:rFonts w:ascii="Georgia" w:hAnsi="Georgia"/>
          <w:b/>
          <w:color w:val="1C2620"/>
          <w:sz w:val="34"/>
        </w:rPr>
        <w:t>Assumptions &amp; what's excluded</w:t>
      </w:r>
    </w:p>
    <w:p w14:paraId="5D450A30" w14:textId="77777777" w:rsidR="00AD699D" w:rsidRDefault="00000000">
      <w:pPr>
        <w:spacing w:before="280" w:after="80"/>
      </w:pPr>
      <w:r>
        <w:rPr>
          <w:rFonts w:ascii="Georgia" w:hAnsi="Georgia"/>
          <w:b/>
          <w:color w:val="1C2620"/>
          <w:sz w:val="22"/>
        </w:rPr>
        <w:t>This quote assumes:</w:t>
      </w:r>
    </w:p>
    <w:p w14:paraId="3CA4BA77" w14:textId="77777777" w:rsidR="00AD699D" w:rsidRDefault="00000000">
      <w:pPr>
        <w:pStyle w:val="ListBullet"/>
        <w:spacing w:after="60"/>
      </w:pPr>
      <w:r>
        <w:rPr>
          <w:sz w:val="20"/>
        </w:rPr>
        <w:t>Web-based delivery only — no native iOS/Android app in this scope.</w:t>
      </w:r>
    </w:p>
    <w:p w14:paraId="169237B5" w14:textId="77777777" w:rsidR="00AD699D" w:rsidRDefault="00000000">
      <w:pPr>
        <w:pStyle w:val="ListBullet"/>
        <w:spacing w:after="60"/>
      </w:pPr>
      <w:r>
        <w:rPr>
          <w:sz w:val="20"/>
        </w:rPr>
        <w:t>You hold or will obtain candidate consent for biometric data collection, per NEBOSH/IOSH accreditation and applicable Pakistani data-protection guidance.</w:t>
      </w:r>
    </w:p>
    <w:p w14:paraId="026FD161" w14:textId="77777777" w:rsidR="00AD699D" w:rsidRDefault="00000000">
      <w:pPr>
        <w:pStyle w:val="ListBullet"/>
        <w:spacing w:after="60"/>
      </w:pPr>
      <w:r>
        <w:rPr>
          <w:sz w:val="20"/>
        </w:rPr>
        <w:t>Hosting account (AWS, DigitalOcean, or equivalent) is opened under Safe Pakistan's name — we configure it, you own it.</w:t>
      </w:r>
    </w:p>
    <w:p w14:paraId="16C039AD" w14:textId="77777777" w:rsidR="00AD699D" w:rsidRDefault="00000000">
      <w:pPr>
        <w:pStyle w:val="ListBullet"/>
        <w:spacing w:after="60"/>
      </w:pPr>
      <w:r>
        <w:rPr>
          <w:sz w:val="20"/>
        </w:rPr>
        <w:t>Excludes legal review of data-retention/cross-border-storage terms — we recommend this run in parallel</w:t>
      </w:r>
    </w:p>
    <w:p w14:paraId="6771679B" w14:textId="77777777" w:rsidR="00AD699D" w:rsidRDefault="00000000" w:rsidP="00B32643">
      <w:pPr>
        <w:pStyle w:val="ListBullet"/>
        <w:spacing w:after="60"/>
      </w:pPr>
      <w:r>
        <w:rPr>
          <w:sz w:val="20"/>
        </w:rPr>
        <w:t>Excludes payment-gateway integration for exam-fee collection, if required.</w:t>
      </w:r>
    </w:p>
    <w:p w14:paraId="04A09A47" w14:textId="77777777" w:rsidR="00AD699D" w:rsidRDefault="00000000">
      <w:pPr>
        <w:pBdr>
          <w:top w:val="single" w:sz="4" w:space="0" w:color="DEDACB"/>
        </w:pBdr>
        <w:spacing w:before="320"/>
      </w:pPr>
      <w:r>
        <w:rPr>
          <w:rFonts w:ascii="Georgia" w:hAnsi="Georgia"/>
          <w:b/>
          <w:color w:val="1C2620"/>
          <w:sz w:val="18"/>
        </w:rPr>
        <w:t>Proposal — NEBOSH/IOSH Remote Proctoring Platform</w:t>
      </w:r>
    </w:p>
    <w:p w14:paraId="204B37AA" w14:textId="77777777" w:rsidR="00AD699D" w:rsidRDefault="00000000">
      <w:pPr>
        <w:spacing w:before="40" w:after="160"/>
      </w:pPr>
      <w:r>
        <w:rPr>
          <w:color w:val="8A9285"/>
          <w:sz w:val="17"/>
        </w:rPr>
        <w:t>All figures in PKR, exclusive of applicable taxes. Page prepared 09 Sep 2026.</w:t>
      </w:r>
    </w:p>
    <w:sectPr w:rsidR="00AD699D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7283621">
    <w:abstractNumId w:val="8"/>
  </w:num>
  <w:num w:numId="2" w16cid:durableId="252515293">
    <w:abstractNumId w:val="6"/>
  </w:num>
  <w:num w:numId="3" w16cid:durableId="1494298208">
    <w:abstractNumId w:val="5"/>
  </w:num>
  <w:num w:numId="4" w16cid:durableId="251748011">
    <w:abstractNumId w:val="4"/>
  </w:num>
  <w:num w:numId="5" w16cid:durableId="72359440">
    <w:abstractNumId w:val="7"/>
  </w:num>
  <w:num w:numId="6" w16cid:durableId="839123400">
    <w:abstractNumId w:val="3"/>
  </w:num>
  <w:num w:numId="7" w16cid:durableId="922253765">
    <w:abstractNumId w:val="2"/>
  </w:num>
  <w:num w:numId="8" w16cid:durableId="344984494">
    <w:abstractNumId w:val="1"/>
  </w:num>
  <w:num w:numId="9" w16cid:durableId="4147438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45F"/>
    <w:rsid w:val="0015074B"/>
    <w:rsid w:val="0029639D"/>
    <w:rsid w:val="00326F90"/>
    <w:rsid w:val="004A2448"/>
    <w:rsid w:val="00606DB7"/>
    <w:rsid w:val="00607FD5"/>
    <w:rsid w:val="00775659"/>
    <w:rsid w:val="007B1A78"/>
    <w:rsid w:val="0087502D"/>
    <w:rsid w:val="008A328E"/>
    <w:rsid w:val="00A33C19"/>
    <w:rsid w:val="00AA1D8D"/>
    <w:rsid w:val="00AD699D"/>
    <w:rsid w:val="00B32643"/>
    <w:rsid w:val="00B47730"/>
    <w:rsid w:val="00C930B5"/>
    <w:rsid w:val="00CB0664"/>
    <w:rsid w:val="00FC693F"/>
    <w:rsid w:val="00FE2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BBC9EA"/>
  <w14:defaultImageDpi w14:val="300"/>
  <w15:docId w15:val="{7544796B-B5BE-FD4D-AA45-F3E55ED6D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52604F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1239</Words>
  <Characters>7066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Shoaib Fayyaz</cp:lastModifiedBy>
  <cp:revision>10</cp:revision>
  <dcterms:created xsi:type="dcterms:W3CDTF">2013-12-23T23:15:00Z</dcterms:created>
  <dcterms:modified xsi:type="dcterms:W3CDTF">2026-09-09T14:58:00Z</dcterms:modified>
  <cp:category/>
</cp:coreProperties>
</file>