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B4" w:rsidRDefault="004716F8" w:rsidP="008220A3">
      <w:pPr>
        <w:pStyle w:val="Title"/>
        <w:rPr>
          <w:rFonts w:ascii="Book Antiqua" w:hAnsi="Book Antiqua"/>
          <w:b/>
          <w:u w:val="single"/>
        </w:rPr>
      </w:pPr>
      <w:r w:rsidRPr="008220A3">
        <w:rPr>
          <w:rFonts w:ascii="Book Antiqua" w:hAnsi="Book Antiqua"/>
          <w:b/>
          <w:u w:val="single"/>
          <w:lang w:val="en-US"/>
        </w:rPr>
        <w:t xml:space="preserve">Project Title: </w:t>
      </w:r>
      <w:r w:rsidR="006E34BE" w:rsidRPr="008220A3">
        <w:rPr>
          <w:rFonts w:ascii="Book Antiqua" w:hAnsi="Book Antiqua"/>
          <w:b/>
          <w:u w:val="single"/>
        </w:rPr>
        <w:t xml:space="preserve">Global </w:t>
      </w:r>
      <w:proofErr w:type="spellStart"/>
      <w:r w:rsidR="006E34BE" w:rsidRPr="008220A3">
        <w:rPr>
          <w:rFonts w:ascii="Book Antiqua" w:hAnsi="Book Antiqua"/>
          <w:b/>
          <w:u w:val="single"/>
        </w:rPr>
        <w:t>Economical</w:t>
      </w:r>
      <w:proofErr w:type="spellEnd"/>
      <w:r w:rsidR="006E34BE" w:rsidRPr="008220A3">
        <w:rPr>
          <w:rFonts w:ascii="Book Antiqua" w:hAnsi="Book Antiqua"/>
          <w:b/>
          <w:u w:val="single"/>
        </w:rPr>
        <w:t xml:space="preserve"> Data Analysis</w:t>
      </w:r>
    </w:p>
    <w:p w:rsidR="008220A3" w:rsidRDefault="008220A3" w:rsidP="008220A3"/>
    <w:p w:rsidR="008220A3" w:rsidRPr="008220A3" w:rsidRDefault="008220A3" w:rsidP="008220A3"/>
    <w:p w:rsidR="008220A3" w:rsidRDefault="006E34BE">
      <w:pPr>
        <w:rPr>
          <w:rFonts w:ascii="Book Antiqua" w:hAnsi="Book Antiqua"/>
        </w:rPr>
      </w:pPr>
      <w:r w:rsidRPr="008220A3">
        <w:rPr>
          <w:rFonts w:ascii="Book Antiqua" w:hAnsi="Book Antiqua"/>
          <w:b/>
          <w:sz w:val="36"/>
          <w:szCs w:val="36"/>
          <w:u w:val="single"/>
        </w:rPr>
        <w:t xml:space="preserve">Project </w:t>
      </w:r>
      <w:r w:rsidR="008220A3" w:rsidRPr="008220A3">
        <w:rPr>
          <w:rFonts w:ascii="Book Antiqua" w:hAnsi="Book Antiqua"/>
          <w:b/>
          <w:sz w:val="36"/>
          <w:szCs w:val="36"/>
          <w:u w:val="single"/>
        </w:rPr>
        <w:t>Abstraction</w:t>
      </w:r>
      <w:r w:rsidR="008220A3" w:rsidRPr="008220A3">
        <w:rPr>
          <w:rFonts w:ascii="Book Antiqua" w:hAnsi="Book Antiqua"/>
          <w:sz w:val="36"/>
          <w:szCs w:val="36"/>
        </w:rPr>
        <w:t>:</w:t>
      </w:r>
      <w:r w:rsidRPr="008220A3">
        <w:rPr>
          <w:rFonts w:ascii="Book Antiqua" w:hAnsi="Book Antiqua"/>
        </w:rPr>
        <w:t xml:space="preserve"> </w:t>
      </w:r>
    </w:p>
    <w:p w:rsidR="006E34BE" w:rsidRPr="008220A3" w:rsidRDefault="008220A3">
      <w:pPr>
        <w:rPr>
          <w:rFonts w:ascii="Book Antiqua" w:hAnsi="Book Antiqua"/>
        </w:rPr>
      </w:pPr>
      <w:r w:rsidRPr="008220A3">
        <w:rPr>
          <w:rFonts w:ascii="Book Antiqua" w:hAnsi="Book Antiqua"/>
          <w:sz w:val="32"/>
          <w:szCs w:val="32"/>
        </w:rPr>
        <w:t>Analysing</w:t>
      </w:r>
      <w:r w:rsidR="006E34BE" w:rsidRPr="008220A3">
        <w:rPr>
          <w:rFonts w:ascii="Book Antiqua" w:hAnsi="Book Antiqua"/>
          <w:sz w:val="32"/>
          <w:szCs w:val="32"/>
        </w:rPr>
        <w:t xml:space="preserve"> and deriving actionable insights from global economic data is crucial for businesses, policymakers, and researchers to make informed decisions and navigate the complex global </w:t>
      </w:r>
      <w:r w:rsidRPr="008220A3">
        <w:rPr>
          <w:rFonts w:ascii="Book Antiqua" w:hAnsi="Book Antiqua"/>
          <w:sz w:val="32"/>
          <w:szCs w:val="32"/>
        </w:rPr>
        <w:t>landscape. The</w:t>
      </w:r>
      <w:r w:rsidR="006E34BE" w:rsidRPr="008220A3">
        <w:rPr>
          <w:rFonts w:ascii="Book Antiqua" w:hAnsi="Book Antiqua"/>
          <w:sz w:val="32"/>
          <w:szCs w:val="32"/>
        </w:rPr>
        <w:t xml:space="preserve"> problem statement aims to address the need for leveraging IBM Cognos to achieve comprehensive analysis and actionable insights from global economic data.</w:t>
      </w:r>
    </w:p>
    <w:p w:rsidR="006E34BE" w:rsidRPr="008220A3" w:rsidRDefault="006E34BE">
      <w:pPr>
        <w:rPr>
          <w:rFonts w:ascii="Book Antiqua" w:hAnsi="Book Antiqua"/>
        </w:rPr>
      </w:pPr>
    </w:p>
    <w:p w:rsidR="006E34BE" w:rsidRPr="008220A3" w:rsidRDefault="006E34BE">
      <w:pPr>
        <w:rPr>
          <w:rFonts w:ascii="Book Antiqua" w:hAnsi="Book Antiqua"/>
          <w:b/>
          <w:sz w:val="36"/>
          <w:szCs w:val="36"/>
          <w:u w:val="single"/>
        </w:rPr>
      </w:pPr>
      <w:r w:rsidRPr="008220A3">
        <w:rPr>
          <w:rFonts w:ascii="Book Antiqua" w:hAnsi="Book Antiqua"/>
          <w:b/>
          <w:sz w:val="36"/>
          <w:szCs w:val="36"/>
          <w:u w:val="single"/>
        </w:rPr>
        <w:t xml:space="preserve">Charts and Uses: </w:t>
      </w:r>
    </w:p>
    <w:p w:rsidR="006E34BE" w:rsidRPr="008220A3" w:rsidRDefault="006E34BE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drawing>
          <wp:inline distT="0" distB="0" distL="0" distR="0">
            <wp:extent cx="4210050" cy="261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536" cy="26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83" w:rsidRPr="008220A3" w:rsidRDefault="00391683">
      <w:pPr>
        <w:rPr>
          <w:rFonts w:ascii="Book Antiqua" w:hAnsi="Book Antiqua"/>
          <w:lang w:val="en-US"/>
        </w:rPr>
      </w:pPr>
    </w:p>
    <w:p w:rsidR="00391683" w:rsidRPr="008220A3" w:rsidRDefault="0039168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>The above chart shows the rate of open and inflation in retail products o</w:t>
      </w:r>
      <w:r w:rsidR="008220A3" w:rsidRPr="008220A3">
        <w:rPr>
          <w:rFonts w:ascii="Book Antiqua" w:hAnsi="Book Antiqua"/>
          <w:sz w:val="32"/>
          <w:szCs w:val="32"/>
          <w:lang w:val="en-US"/>
        </w:rPr>
        <w:t>f different countries as of 2023</w:t>
      </w:r>
      <w:r w:rsidRPr="008220A3">
        <w:rPr>
          <w:rFonts w:ascii="Book Antiqua" w:hAnsi="Book Antiqua"/>
          <w:sz w:val="32"/>
          <w:szCs w:val="32"/>
          <w:lang w:val="en-US"/>
        </w:rPr>
        <w:t xml:space="preserve">. </w:t>
      </w:r>
    </w:p>
    <w:p w:rsidR="00391683" w:rsidRPr="008220A3" w:rsidRDefault="00391683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lastRenderedPageBreak/>
        <w:drawing>
          <wp:inline distT="0" distB="0" distL="0" distR="0">
            <wp:extent cx="4944165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83" w:rsidRPr="008220A3" w:rsidRDefault="00391683">
      <w:pPr>
        <w:rPr>
          <w:rFonts w:ascii="Book Antiqua" w:hAnsi="Book Antiqua"/>
          <w:lang w:val="en-US"/>
        </w:rPr>
      </w:pPr>
    </w:p>
    <w:p w:rsidR="00391683" w:rsidRPr="008220A3" w:rsidRDefault="0039168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 xml:space="preserve">This chart shows the open and inflation of the same countries but in accordance with the </w:t>
      </w:r>
      <w:r w:rsidR="008220A3" w:rsidRPr="008220A3">
        <w:rPr>
          <w:rFonts w:ascii="Book Antiqua" w:hAnsi="Book Antiqua"/>
          <w:sz w:val="32"/>
          <w:szCs w:val="32"/>
          <w:lang w:val="en-US"/>
        </w:rPr>
        <w:t>date and year as of 2023</w:t>
      </w:r>
      <w:r w:rsidRPr="008220A3">
        <w:rPr>
          <w:rFonts w:ascii="Book Antiqua" w:hAnsi="Book Antiqua"/>
          <w:sz w:val="32"/>
          <w:szCs w:val="32"/>
          <w:lang w:val="en-US"/>
        </w:rPr>
        <w:t xml:space="preserve">. </w:t>
      </w:r>
    </w:p>
    <w:p w:rsidR="00391683" w:rsidRPr="008220A3" w:rsidRDefault="00391683">
      <w:pPr>
        <w:rPr>
          <w:rFonts w:ascii="Book Antiqua" w:hAnsi="Book Antiqua"/>
          <w:lang w:val="en-US"/>
        </w:rPr>
      </w:pPr>
    </w:p>
    <w:p w:rsidR="00391683" w:rsidRPr="008220A3" w:rsidRDefault="00096933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drawing>
          <wp:inline distT="0" distB="0" distL="0" distR="0">
            <wp:extent cx="5010849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33" w:rsidRPr="008220A3" w:rsidRDefault="00096933">
      <w:pPr>
        <w:rPr>
          <w:rFonts w:ascii="Book Antiqua" w:hAnsi="Book Antiqua"/>
          <w:lang w:val="en-US"/>
        </w:rPr>
      </w:pPr>
    </w:p>
    <w:p w:rsidR="00096933" w:rsidRPr="008220A3" w:rsidRDefault="0009693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>This above chart again, shows the open, inflation and close values of inflation in retail goods a</w:t>
      </w:r>
      <w:r w:rsidR="008220A3" w:rsidRPr="008220A3">
        <w:rPr>
          <w:rFonts w:ascii="Book Antiqua" w:hAnsi="Book Antiqua"/>
          <w:sz w:val="32"/>
          <w:szCs w:val="32"/>
          <w:lang w:val="en-US"/>
        </w:rPr>
        <w:t>nd products globally as of 2023</w:t>
      </w:r>
      <w:r w:rsidRPr="008220A3">
        <w:rPr>
          <w:rFonts w:ascii="Book Antiqua" w:hAnsi="Book Antiqua"/>
          <w:sz w:val="32"/>
          <w:szCs w:val="32"/>
          <w:lang w:val="en-US"/>
        </w:rPr>
        <w:t xml:space="preserve">. </w:t>
      </w:r>
    </w:p>
    <w:p w:rsidR="00096933" w:rsidRPr="008220A3" w:rsidRDefault="00096933">
      <w:pPr>
        <w:rPr>
          <w:rFonts w:ascii="Book Antiqua" w:hAnsi="Book Antiqua"/>
          <w:lang w:val="en-US"/>
        </w:rPr>
      </w:pPr>
    </w:p>
    <w:p w:rsidR="00096933" w:rsidRPr="008220A3" w:rsidRDefault="00096933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lastRenderedPageBreak/>
        <w:drawing>
          <wp:inline distT="0" distB="0" distL="0" distR="0">
            <wp:extent cx="4991797" cy="48489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33" w:rsidRPr="008220A3" w:rsidRDefault="00096933">
      <w:pPr>
        <w:rPr>
          <w:rFonts w:ascii="Book Antiqua" w:hAnsi="Book Antiqua"/>
          <w:lang w:val="en-US"/>
        </w:rPr>
      </w:pPr>
    </w:p>
    <w:p w:rsidR="00096933" w:rsidRPr="008220A3" w:rsidRDefault="0009693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 xml:space="preserve">Next, the Open values of different dates of inflation as of 2023 are given above. It gives a clear picture of almost every month and its inflation rates in the global market. </w:t>
      </w:r>
    </w:p>
    <w:p w:rsidR="00096933" w:rsidRPr="008220A3" w:rsidRDefault="00096933">
      <w:pPr>
        <w:rPr>
          <w:rFonts w:ascii="Book Antiqua" w:hAnsi="Book Antiqua"/>
          <w:lang w:val="en-US"/>
        </w:rPr>
      </w:pPr>
    </w:p>
    <w:p w:rsidR="00096933" w:rsidRPr="008220A3" w:rsidRDefault="00096933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lastRenderedPageBreak/>
        <w:drawing>
          <wp:inline distT="0" distB="0" distL="0" distR="0">
            <wp:extent cx="5731510" cy="2552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33" w:rsidRPr="008220A3" w:rsidRDefault="00096933">
      <w:pPr>
        <w:rPr>
          <w:rFonts w:ascii="Book Antiqua" w:hAnsi="Book Antiqua"/>
          <w:lang w:val="en-US"/>
        </w:rPr>
      </w:pPr>
    </w:p>
    <w:p w:rsidR="00096933" w:rsidRPr="008220A3" w:rsidRDefault="0009693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 xml:space="preserve">The close market values of the same retail goods in different months of 2023 are charted as above. </w:t>
      </w:r>
    </w:p>
    <w:p w:rsidR="00096933" w:rsidRPr="008220A3" w:rsidRDefault="00096933">
      <w:pPr>
        <w:rPr>
          <w:rFonts w:ascii="Book Antiqua" w:hAnsi="Book Antiqua"/>
          <w:lang w:val="en-US"/>
        </w:rPr>
      </w:pPr>
    </w:p>
    <w:p w:rsidR="00096933" w:rsidRPr="008220A3" w:rsidRDefault="00096933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44386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8000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20A3">
        <w:rPr>
          <w:rFonts w:ascii="Book Antiqua" w:hAnsi="Book Antiqua"/>
          <w:lang w:val="en-US"/>
        </w:rPr>
        <w:br w:type="textWrapping" w:clear="all"/>
      </w:r>
    </w:p>
    <w:p w:rsidR="00096933" w:rsidRPr="008220A3" w:rsidRDefault="00096933" w:rsidP="0009693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 xml:space="preserve">The </w:t>
      </w:r>
      <w:r w:rsidRPr="008220A3">
        <w:rPr>
          <w:rFonts w:ascii="Book Antiqua" w:hAnsi="Book Antiqua"/>
          <w:sz w:val="32"/>
          <w:szCs w:val="32"/>
          <w:lang w:val="en-US"/>
        </w:rPr>
        <w:t>low and lowest</w:t>
      </w:r>
      <w:r w:rsidRPr="008220A3">
        <w:rPr>
          <w:rFonts w:ascii="Book Antiqua" w:hAnsi="Book Antiqua"/>
          <w:sz w:val="32"/>
          <w:szCs w:val="32"/>
          <w:lang w:val="en-US"/>
        </w:rPr>
        <w:t xml:space="preserve"> market values of the same retail goods in different months of 2023 are charted as above. </w:t>
      </w:r>
    </w:p>
    <w:p w:rsidR="008220A3" w:rsidRPr="008220A3" w:rsidRDefault="008220A3">
      <w:pPr>
        <w:rPr>
          <w:rFonts w:ascii="Book Antiqua" w:hAnsi="Book Antiqua"/>
          <w:lang w:val="en-US"/>
        </w:rPr>
      </w:pPr>
      <w:r w:rsidRPr="008220A3">
        <w:rPr>
          <w:rFonts w:ascii="Book Antiqua" w:hAnsi="Book Antiqua"/>
          <w:noProof/>
          <w:lang w:eastAsia="en-IN"/>
        </w:rPr>
        <w:lastRenderedPageBreak/>
        <w:drawing>
          <wp:inline distT="0" distB="0" distL="0" distR="0" wp14:anchorId="2A88FC11" wp14:editId="643AF396">
            <wp:extent cx="5731510" cy="2557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3" w:rsidRPr="008220A3" w:rsidRDefault="008220A3" w:rsidP="008220A3">
      <w:pPr>
        <w:rPr>
          <w:rFonts w:ascii="Book Antiqua" w:hAnsi="Book Antiqua"/>
          <w:sz w:val="32"/>
          <w:szCs w:val="32"/>
          <w:lang w:val="en-US"/>
        </w:rPr>
      </w:pPr>
    </w:p>
    <w:p w:rsidR="008220A3" w:rsidRPr="008220A3" w:rsidRDefault="008220A3" w:rsidP="008220A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 xml:space="preserve">The </w:t>
      </w:r>
      <w:r w:rsidRPr="008220A3">
        <w:rPr>
          <w:rFonts w:ascii="Book Antiqua" w:hAnsi="Book Antiqua"/>
          <w:sz w:val="32"/>
          <w:szCs w:val="32"/>
          <w:lang w:val="en-US"/>
        </w:rPr>
        <w:t>high</w:t>
      </w:r>
      <w:r w:rsidRPr="008220A3">
        <w:rPr>
          <w:rFonts w:ascii="Book Antiqua" w:hAnsi="Book Antiqua"/>
          <w:sz w:val="32"/>
          <w:szCs w:val="32"/>
          <w:lang w:val="en-US"/>
        </w:rPr>
        <w:t xml:space="preserve"> and </w:t>
      </w:r>
      <w:r w:rsidRPr="008220A3">
        <w:rPr>
          <w:rFonts w:ascii="Book Antiqua" w:hAnsi="Book Antiqua"/>
          <w:sz w:val="32"/>
          <w:szCs w:val="32"/>
          <w:lang w:val="en-US"/>
        </w:rPr>
        <w:t>high</w:t>
      </w:r>
      <w:r w:rsidRPr="008220A3">
        <w:rPr>
          <w:rFonts w:ascii="Book Antiqua" w:hAnsi="Book Antiqua"/>
          <w:sz w:val="32"/>
          <w:szCs w:val="32"/>
          <w:lang w:val="en-US"/>
        </w:rPr>
        <w:t xml:space="preserve">est market values of the same retail goods in different months of 2023 are charted as above. </w:t>
      </w:r>
    </w:p>
    <w:p w:rsidR="008220A3" w:rsidRPr="008220A3" w:rsidRDefault="008220A3" w:rsidP="008220A3">
      <w:pPr>
        <w:rPr>
          <w:rFonts w:ascii="Book Antiqua" w:hAnsi="Book Antiqua"/>
          <w:lang w:val="en-US"/>
        </w:rPr>
      </w:pPr>
    </w:p>
    <w:p w:rsidR="008220A3" w:rsidRPr="008220A3" w:rsidRDefault="008220A3" w:rsidP="008220A3">
      <w:pPr>
        <w:ind w:left="720" w:hanging="720"/>
        <w:rPr>
          <w:rFonts w:ascii="Book Antiqua" w:hAnsi="Book Antiqua"/>
          <w:b/>
          <w:sz w:val="36"/>
          <w:szCs w:val="36"/>
          <w:u w:val="single"/>
          <w:lang w:val="en-US"/>
        </w:rPr>
      </w:pPr>
      <w:r w:rsidRPr="008220A3">
        <w:rPr>
          <w:rFonts w:ascii="Book Antiqua" w:hAnsi="Book Antiqua"/>
          <w:b/>
          <w:sz w:val="36"/>
          <w:szCs w:val="36"/>
          <w:u w:val="single"/>
          <w:lang w:val="en-US"/>
        </w:rPr>
        <w:t xml:space="preserve">Conclusion: </w:t>
      </w:r>
    </w:p>
    <w:p w:rsidR="008220A3" w:rsidRPr="008220A3" w:rsidRDefault="008220A3" w:rsidP="008220A3">
      <w:pPr>
        <w:rPr>
          <w:rFonts w:ascii="Book Antiqua" w:hAnsi="Book Antiqua"/>
          <w:color w:val="000000"/>
          <w:sz w:val="32"/>
          <w:szCs w:val="32"/>
        </w:rPr>
      </w:pPr>
      <w:r w:rsidRPr="008220A3">
        <w:rPr>
          <w:rFonts w:ascii="Book Antiqua" w:hAnsi="Book Antiqua"/>
          <w:color w:val="000000"/>
          <w:sz w:val="32"/>
          <w:szCs w:val="32"/>
        </w:rPr>
        <w:t xml:space="preserve">The Dashboard shows the </w:t>
      </w:r>
      <w:r>
        <w:rPr>
          <w:rFonts w:ascii="Book Antiqua" w:hAnsi="Book Antiqua"/>
          <w:color w:val="000000"/>
          <w:sz w:val="32"/>
          <w:szCs w:val="32"/>
        </w:rPr>
        <w:t>open rates, close rates, inflation rates, highest inflation, lowest inflation and average inflation rate of some retail products in the global market as of 2023</w:t>
      </w:r>
      <w:r w:rsidRPr="008220A3">
        <w:rPr>
          <w:rFonts w:ascii="Book Antiqua" w:hAnsi="Book Antiqua"/>
          <w:color w:val="000000"/>
          <w:sz w:val="32"/>
          <w:szCs w:val="32"/>
        </w:rPr>
        <w:t>.  It also creates easy accessibility on the whole data set as we can visualize the whol</w:t>
      </w:r>
      <w:r w:rsidRPr="008220A3">
        <w:rPr>
          <w:rFonts w:ascii="Book Antiqua" w:hAnsi="Book Antiqua"/>
          <w:color w:val="000000"/>
          <w:sz w:val="32"/>
          <w:szCs w:val="32"/>
        </w:rPr>
        <w:t xml:space="preserve">e details of the given data set </w:t>
      </w:r>
      <w:r w:rsidRPr="008220A3">
        <w:rPr>
          <w:rFonts w:ascii="Book Antiqua" w:hAnsi="Book Antiqua"/>
          <w:color w:val="000000"/>
          <w:sz w:val="32"/>
          <w:szCs w:val="32"/>
        </w:rPr>
        <w:t>and conclude a decision.</w:t>
      </w:r>
      <w:bookmarkStart w:id="0" w:name="_GoBack"/>
      <w:bookmarkEnd w:id="0"/>
    </w:p>
    <w:p w:rsidR="008220A3" w:rsidRPr="008220A3" w:rsidRDefault="008220A3" w:rsidP="008220A3">
      <w:pPr>
        <w:rPr>
          <w:rFonts w:ascii="Book Antiqua" w:hAnsi="Book Antiqua"/>
          <w:color w:val="000000"/>
        </w:rPr>
      </w:pPr>
    </w:p>
    <w:p w:rsidR="008220A3" w:rsidRPr="008220A3" w:rsidRDefault="008220A3" w:rsidP="008220A3">
      <w:pPr>
        <w:rPr>
          <w:rFonts w:ascii="Book Antiqua" w:hAnsi="Book Antiqua"/>
          <w:b/>
          <w:color w:val="000000"/>
          <w:sz w:val="40"/>
          <w:szCs w:val="40"/>
          <w:u w:val="single"/>
        </w:rPr>
      </w:pPr>
      <w:r w:rsidRPr="008220A3">
        <w:rPr>
          <w:rFonts w:ascii="Book Antiqua" w:hAnsi="Book Antiqua"/>
          <w:b/>
          <w:color w:val="000000"/>
          <w:sz w:val="40"/>
          <w:szCs w:val="40"/>
          <w:u w:val="single"/>
        </w:rPr>
        <w:t>Team Members:</w:t>
      </w:r>
    </w:p>
    <w:p w:rsidR="008220A3" w:rsidRPr="008220A3" w:rsidRDefault="008220A3" w:rsidP="008220A3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  <w:lang w:val="en-US"/>
        </w:rPr>
      </w:pPr>
      <w:proofErr w:type="spellStart"/>
      <w:r w:rsidRPr="008220A3">
        <w:rPr>
          <w:rFonts w:ascii="Book Antiqua" w:hAnsi="Book Antiqua"/>
          <w:sz w:val="32"/>
          <w:szCs w:val="32"/>
          <w:lang w:val="en-US"/>
        </w:rPr>
        <w:t>Shahira</w:t>
      </w:r>
      <w:proofErr w:type="spellEnd"/>
      <w:r w:rsidRPr="008220A3">
        <w:rPr>
          <w:rFonts w:ascii="Book Antiqua" w:hAnsi="Book Antiqua"/>
          <w:sz w:val="32"/>
          <w:szCs w:val="32"/>
          <w:lang w:val="en-US"/>
        </w:rPr>
        <w:t xml:space="preserve"> </w:t>
      </w:r>
      <w:proofErr w:type="spellStart"/>
      <w:r w:rsidRPr="008220A3">
        <w:rPr>
          <w:rFonts w:ascii="Book Antiqua" w:hAnsi="Book Antiqua"/>
          <w:sz w:val="32"/>
          <w:szCs w:val="32"/>
          <w:lang w:val="en-US"/>
        </w:rPr>
        <w:t>Shabnam</w:t>
      </w:r>
      <w:proofErr w:type="spellEnd"/>
      <w:r w:rsidRPr="008220A3">
        <w:rPr>
          <w:rFonts w:ascii="Book Antiqua" w:hAnsi="Book Antiqua"/>
          <w:sz w:val="32"/>
          <w:szCs w:val="32"/>
          <w:lang w:val="en-US"/>
        </w:rPr>
        <w:t xml:space="preserve"> S – 221191101133</w:t>
      </w:r>
    </w:p>
    <w:p w:rsidR="008220A3" w:rsidRPr="008220A3" w:rsidRDefault="008220A3" w:rsidP="008220A3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  <w:lang w:val="en-US"/>
        </w:rPr>
      </w:pPr>
      <w:proofErr w:type="spellStart"/>
      <w:r w:rsidRPr="008220A3">
        <w:rPr>
          <w:rFonts w:ascii="Book Antiqua" w:hAnsi="Book Antiqua"/>
          <w:sz w:val="32"/>
          <w:szCs w:val="32"/>
          <w:lang w:val="en-US"/>
        </w:rPr>
        <w:t>Saranya</w:t>
      </w:r>
      <w:proofErr w:type="spellEnd"/>
      <w:r w:rsidRPr="008220A3">
        <w:rPr>
          <w:rFonts w:ascii="Book Antiqua" w:hAnsi="Book Antiqua"/>
          <w:sz w:val="32"/>
          <w:szCs w:val="32"/>
          <w:lang w:val="en-US"/>
        </w:rPr>
        <w:t xml:space="preserve"> N – 221191101125</w:t>
      </w:r>
    </w:p>
    <w:p w:rsidR="008220A3" w:rsidRPr="008220A3" w:rsidRDefault="008220A3" w:rsidP="008220A3">
      <w:pPr>
        <w:rPr>
          <w:rFonts w:ascii="Book Antiqua" w:hAnsi="Book Antiqua"/>
          <w:b/>
          <w:sz w:val="36"/>
          <w:szCs w:val="36"/>
          <w:u w:val="single"/>
          <w:lang w:val="en-US"/>
        </w:rPr>
      </w:pPr>
      <w:r w:rsidRPr="008220A3">
        <w:rPr>
          <w:rFonts w:ascii="Book Antiqua" w:hAnsi="Book Antiqua"/>
          <w:b/>
          <w:sz w:val="36"/>
          <w:szCs w:val="36"/>
          <w:u w:val="single"/>
          <w:lang w:val="en-US"/>
        </w:rPr>
        <w:t xml:space="preserve">Dashboard Link: </w:t>
      </w:r>
    </w:p>
    <w:p w:rsidR="008220A3" w:rsidRPr="008220A3" w:rsidRDefault="008220A3" w:rsidP="008220A3">
      <w:pPr>
        <w:rPr>
          <w:rFonts w:ascii="Book Antiqua" w:hAnsi="Book Antiqua"/>
          <w:sz w:val="32"/>
          <w:szCs w:val="32"/>
          <w:lang w:val="en-US"/>
        </w:rPr>
      </w:pPr>
      <w:r w:rsidRPr="008220A3">
        <w:rPr>
          <w:rFonts w:ascii="Book Antiqua" w:hAnsi="Book Antiqua"/>
          <w:sz w:val="32"/>
          <w:szCs w:val="32"/>
          <w:lang w:val="en-US"/>
        </w:rPr>
        <w:t>https://us1.ca.analytics.ibm.com/bi/?perspective=dashboard&amp;pathRef=.my_folders%2FNew%2Bdashboard&amp;action=view&amp;mode=dashboard&amp;subView=model0000018f99d121ff_00000000</w:t>
      </w:r>
    </w:p>
    <w:p w:rsidR="008220A3" w:rsidRDefault="008220A3" w:rsidP="008220A3">
      <w:pPr>
        <w:rPr>
          <w:lang w:val="en-US"/>
        </w:rPr>
      </w:pPr>
    </w:p>
    <w:p w:rsidR="00391683" w:rsidRPr="008220A3" w:rsidRDefault="00391683" w:rsidP="008220A3">
      <w:pPr>
        <w:rPr>
          <w:lang w:val="en-US"/>
        </w:rPr>
      </w:pPr>
    </w:p>
    <w:sectPr w:rsidR="00391683" w:rsidRPr="0082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B3220"/>
    <w:multiLevelType w:val="hybridMultilevel"/>
    <w:tmpl w:val="2714AD38"/>
    <w:lvl w:ilvl="0" w:tplc="7848F8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F8"/>
    <w:rsid w:val="00096933"/>
    <w:rsid w:val="00391683"/>
    <w:rsid w:val="004716F8"/>
    <w:rsid w:val="005866B4"/>
    <w:rsid w:val="006E34BE"/>
    <w:rsid w:val="008220A3"/>
    <w:rsid w:val="00E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C339"/>
  <w15:chartTrackingRefBased/>
  <w15:docId w15:val="{268A2C86-E5DA-4750-8FDE-FAF82C15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2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WECOME</dc:creator>
  <cp:keywords/>
  <dc:description/>
  <cp:lastModifiedBy>WECOME</cp:lastModifiedBy>
  <cp:revision>1</cp:revision>
  <dcterms:created xsi:type="dcterms:W3CDTF">2024-05-30T14:32:00Z</dcterms:created>
  <dcterms:modified xsi:type="dcterms:W3CDTF">2024-05-30T16:48:00Z</dcterms:modified>
</cp:coreProperties>
</file>