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4"/>
        </w:rPr>
        <w:t>E-COMMERCE CUSTOMER ANALYTICS</w:t>
        <w:br/>
        <w:t>&amp; RFM SEGMENTATION</w:t>
      </w:r>
    </w:p>
    <w:p>
      <w:pPr>
        <w:jc w:val="center"/>
      </w:pPr>
      <w:r>
        <w:rPr>
          <w:i/>
          <w:sz w:val="22"/>
        </w:rPr>
        <w:t>Customer Insights &amp; Analytics Project</w:t>
      </w:r>
    </w:p>
    <w:p>
      <w:pPr>
        <w:jc w:val="center"/>
      </w:pPr>
      <w:r>
        <w:rPr>
          <w:b/>
          <w:sz w:val="26"/>
        </w:rPr>
        <w:t>BUSINESS REQUIREMENTS DOCUMENT (BRD)</w:t>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F4E79"/>
          </w:tcPr>
          <w:p>
            <w:pPr>
              <w:spacing w:after="20"/>
            </w:pPr>
            <w:r/>
            <w:r>
              <w:rPr>
                <w:rFonts w:ascii="Aptos" w:hAnsi="Aptos"/>
                <w:b/>
                <w:color w:val="FFFFFF"/>
                <w:sz w:val="18"/>
              </w:rPr>
              <w:t>Field</w:t>
            </w:r>
          </w:p>
        </w:tc>
        <w:tc>
          <w:tcPr>
            <w:tcW w:type="dxa" w:w="8064"/>
            <w:vAlign w:val="center"/>
            <w:shd w:fill="1F4E79"/>
          </w:tcPr>
          <w:p>
            <w:pPr>
              <w:spacing w:after="20"/>
            </w:pPr>
            <w:r/>
            <w:r>
              <w:rPr>
                <w:rFonts w:ascii="Aptos" w:hAnsi="Aptos"/>
                <w:b/>
                <w:color w:val="FFFFFF"/>
                <w:sz w:val="18"/>
              </w:rPr>
              <w:t>Details</w:t>
            </w:r>
          </w:p>
        </w:tc>
      </w:tr>
      <w:tr>
        <w:tc>
          <w:tcPr>
            <w:tcW w:type="dxa" w:w="2448"/>
            <w:vAlign w:val="center"/>
            <w:shd w:fill="F3F6F9"/>
          </w:tcPr>
          <w:p>
            <w:pPr>
              <w:spacing w:after="20"/>
            </w:pPr>
            <w:r/>
            <w:r>
              <w:rPr>
                <w:rFonts w:ascii="Aptos" w:hAnsi="Aptos"/>
                <w:b w:val="0"/>
                <w:sz w:val="18"/>
              </w:rPr>
              <w:t>Document Title</w:t>
            </w:r>
          </w:p>
        </w:tc>
        <w:tc>
          <w:tcPr>
            <w:tcW w:type="dxa" w:w="8064"/>
            <w:vAlign w:val="center"/>
            <w:shd w:fill="F3F6F9"/>
          </w:tcPr>
          <w:p>
            <w:pPr>
              <w:spacing w:after="20"/>
            </w:pPr>
            <w:r/>
            <w:r>
              <w:rPr>
                <w:rFonts w:ascii="Aptos" w:hAnsi="Aptos"/>
                <w:b w:val="0"/>
                <w:sz w:val="18"/>
              </w:rPr>
              <w:t>Business Requirements Document – Customer Analytics &amp; RFM Segmentation</w:t>
            </w:r>
          </w:p>
        </w:tc>
      </w:tr>
      <w:tr>
        <w:tc>
          <w:tcPr>
            <w:tcW w:type="dxa" w:w="2448"/>
            <w:vAlign w:val="center"/>
          </w:tcPr>
          <w:p>
            <w:pPr>
              <w:spacing w:after="20"/>
            </w:pPr>
            <w:r/>
            <w:r>
              <w:rPr>
                <w:rFonts w:ascii="Aptos" w:hAnsi="Aptos"/>
                <w:b w:val="0"/>
                <w:sz w:val="18"/>
              </w:rPr>
              <w:t>Project Name</w:t>
            </w:r>
          </w:p>
        </w:tc>
        <w:tc>
          <w:tcPr>
            <w:tcW w:type="dxa" w:w="8064"/>
            <w:vAlign w:val="center"/>
          </w:tcPr>
          <w:p>
            <w:pPr>
              <w:spacing w:after="20"/>
            </w:pPr>
            <w:r/>
            <w:r>
              <w:rPr>
                <w:rFonts w:ascii="Aptos" w:hAnsi="Aptos"/>
                <w:b w:val="0"/>
                <w:sz w:val="18"/>
              </w:rPr>
              <w:t>E-commerce Customer Analytics &amp; RFM Segmentation</w:t>
            </w:r>
          </w:p>
        </w:tc>
      </w:tr>
      <w:tr>
        <w:tc>
          <w:tcPr>
            <w:tcW w:type="dxa" w:w="2448"/>
            <w:vAlign w:val="center"/>
            <w:shd w:fill="F3F6F9"/>
          </w:tcPr>
          <w:p>
            <w:pPr>
              <w:spacing w:after="20"/>
            </w:pPr>
            <w:r/>
            <w:r>
              <w:rPr>
                <w:rFonts w:ascii="Aptos" w:hAnsi="Aptos"/>
                <w:b w:val="0"/>
                <w:sz w:val="18"/>
              </w:rPr>
              <w:t>Prepared By</w:t>
            </w:r>
          </w:p>
        </w:tc>
        <w:tc>
          <w:tcPr>
            <w:tcW w:type="dxa" w:w="8064"/>
            <w:vAlign w:val="center"/>
            <w:shd w:fill="F3F6F9"/>
          </w:tcPr>
          <w:p>
            <w:r>
              <w:t>Project Team</w:t>
            </w:r>
          </w:p>
        </w:tc>
      </w:tr>
      <w:tr>
        <w:tc>
          <w:tcPr>
            <w:tcW w:type="dxa" w:w="2448"/>
            <w:vAlign w:val="center"/>
            <w:shd w:fill="F3F6F9"/>
          </w:tcPr>
          <w:p>
            <w:pPr>
              <w:spacing w:after="20"/>
            </w:pPr>
            <w:r/>
            <w:r>
              <w:rPr>
                <w:rFonts w:ascii="Aptos" w:hAnsi="Aptos"/>
                <w:b w:val="0"/>
                <w:sz w:val="18"/>
              </w:rPr>
              <w:t>Version</w:t>
            </w:r>
          </w:p>
        </w:tc>
        <w:tc>
          <w:tcPr>
            <w:tcW w:type="dxa" w:w="8064"/>
            <w:vAlign w:val="center"/>
            <w:shd w:fill="F3F6F9"/>
          </w:tcPr>
          <w:p>
            <w:pPr>
              <w:spacing w:after="20"/>
            </w:pPr>
            <w:r/>
            <w:r>
              <w:rPr>
                <w:rFonts w:ascii="Aptos" w:hAnsi="Aptos"/>
                <w:b w:val="0"/>
                <w:sz w:val="18"/>
              </w:rPr>
              <w:t>1.0</w:t>
            </w:r>
          </w:p>
        </w:tc>
      </w:tr>
      <w:tr>
        <w:tc>
          <w:tcPr>
            <w:tcW w:type="dxa" w:w="2448"/>
            <w:vAlign w:val="center"/>
          </w:tcPr>
          <w:p>
            <w:pPr>
              <w:spacing w:after="20"/>
            </w:pPr>
            <w:r/>
            <w:r>
              <w:rPr>
                <w:rFonts w:ascii="Aptos" w:hAnsi="Aptos"/>
                <w:b w:val="0"/>
                <w:sz w:val="18"/>
              </w:rPr>
              <w:t>Status</w:t>
            </w:r>
          </w:p>
        </w:tc>
        <w:tc>
          <w:tcPr>
            <w:tcW w:type="dxa" w:w="8064"/>
            <w:vAlign w:val="center"/>
          </w:tcPr>
          <w:p>
            <w:pPr>
              <w:spacing w:after="20"/>
            </w:pPr>
            <w:r/>
            <w:r>
              <w:rPr>
                <w:rFonts w:ascii="Aptos" w:hAnsi="Aptos"/>
                <w:b w:val="0"/>
                <w:sz w:val="18"/>
              </w:rPr>
              <w:t>Project Documentation</w:t>
            </w:r>
          </w:p>
        </w:tc>
      </w:tr>
      <w:tr>
        <w:tc>
          <w:tcPr>
            <w:tcW w:type="dxa" w:w="2448"/>
            <w:vAlign w:val="center"/>
            <w:shd w:fill="F3F6F9"/>
          </w:tcPr>
          <w:p>
            <w:pPr>
              <w:spacing w:after="20"/>
            </w:pPr>
            <w:r/>
            <w:r>
              <w:rPr>
                <w:rFonts w:ascii="Aptos" w:hAnsi="Aptos"/>
                <w:b w:val="0"/>
                <w:sz w:val="18"/>
              </w:rPr>
              <w:t>Classification</w:t>
            </w:r>
          </w:p>
        </w:tc>
        <w:tc>
          <w:tcPr>
            <w:tcW w:type="dxa" w:w="8064"/>
            <w:vAlign w:val="center"/>
            <w:shd w:fill="F3F6F9"/>
          </w:tcPr>
          <w:p>
            <w:pPr>
              <w:spacing w:after="20"/>
            </w:pPr>
            <w:r/>
            <w:r>
              <w:rPr>
                <w:rFonts w:ascii="Aptos" w:hAnsi="Aptos"/>
                <w:b w:val="0"/>
                <w:sz w:val="18"/>
              </w:rPr>
              <w:t>Portfolio Project Documentation</w:t>
            </w:r>
          </w:p>
        </w:tc>
      </w:tr>
      <w:tr>
        <w:tc>
          <w:tcPr>
            <w:tcW w:type="dxa" w:w="4968"/>
          </w:tcPr>
          <w:p>
            <w:r>
              <w:rPr>
                <w:rFonts w:ascii="Aptos" w:hAnsi="Aptos"/>
                <w:sz w:val="18"/>
              </w:rPr>
              <w:t>Reference</w:t>
            </w:r>
          </w:p>
        </w:tc>
        <w:tc>
          <w:tcPr>
            <w:tcW w:type="dxa" w:w="4968"/>
          </w:tcPr>
          <w:p>
            <w:r>
              <w:rPr>
                <w:rFonts w:ascii="Aptos" w:hAnsi="Aptos"/>
                <w:sz w:val="18"/>
              </w:rPr>
              <w:t>Adapted with reference to a public project walkthrough by Mansi Goel</w:t>
            </w:r>
          </w:p>
        </w:tc>
      </w:tr>
    </w:tbl>
    <w:p>
      <w:pPr>
        <w:spacing w:after="20"/>
      </w:pPr>
    </w:p>
    <w:p>
      <w:pPr>
        <w:pStyle w:val="Heading1"/>
      </w:pPr>
      <w:r>
        <w:t>1. Project Background</w:t>
      </w:r>
    </w:p>
    <w:p>
      <w:r>
        <w:t>This project focuses on a UK-based online retailer specialising in giftware and home decor. The transaction dataset covers two years of historical activity, from December 2009 to December 2011. The business needs a structured, data-driven view of which customers generate the most revenue and which customers may be disengaging. Without customer segmentation and retention analysis, it can be difficult to prioritise customer engagement efforts based on customer value and purchasing behaviour. This project analyses historical transaction data to identify valuable customer segments, understand purchasing patterns, and flag inactive customers using a defined inactivity threshold.</w:t>
      </w:r>
    </w:p>
    <w:p>
      <w:pPr>
        <w:pStyle w:val="Heading1"/>
      </w:pPr>
      <w:r>
        <w:t>2. Business Objective</w:t>
      </w:r>
    </w:p>
    <w:p>
      <w:r>
        <w:t>Identify the most valuable customer segments and quantify customer inactivity risk so that businesses can better understand customer behaviour and prioritise potential retention and marketing efforts. The analysis aims to support data-driven decisions rather than applying the same engagement strategy to every customer.</w:t>
      </w:r>
    </w:p>
    <w:p>
      <w:pPr>
        <w:pStyle w:val="Heading1"/>
      </w:pPr>
      <w:r>
        <w:t>3. Business Questions This Analysis Must Answer</w:t>
      </w:r>
    </w:p>
    <w:p>
      <w:pPr>
        <w:pStyle w:val="ListBullet"/>
        <w:spacing w:after="40"/>
      </w:pPr>
      <w:r>
        <w:t>Who are the most valuable customers, and how much revenue do they contribute?</w:t>
      </w:r>
    </w:p>
    <w:p>
      <w:pPr>
        <w:pStyle w:val="ListBullet"/>
        <w:spacing w:after="40"/>
      </w:pPr>
      <w:r>
        <w:t>Which customers have become inactive and may be at risk of disengagement?</w:t>
      </w:r>
    </w:p>
    <w:p>
      <w:pPr>
        <w:pStyle w:val="ListBullet"/>
        <w:spacing w:after="40"/>
      </w:pPr>
      <w:r>
        <w:t>How do customer value and purchasing trends change over time?</w:t>
      </w:r>
    </w:p>
    <w:p>
      <w:pPr>
        <w:pStyle w:val="ListBullet"/>
        <w:spacing w:after="40"/>
      </w:pPr>
      <w:r>
        <w:t>How do customer value and inactivity differ across geographic markets?</w:t>
      </w:r>
    </w:p>
    <w:p>
      <w:pPr>
        <w:pStyle w:val="ListBullet"/>
        <w:spacing w:after="40"/>
      </w:pPr>
      <w:r>
        <w:t>What retention considerations may be relevant for each customer segment?</w:t>
      </w:r>
    </w:p>
    <w:p>
      <w:pPr>
        <w:pStyle w:val="Heading1"/>
      </w:pPr>
      <w:r>
        <w:t>4. Scope</w:t>
      </w:r>
    </w:p>
    <w:p>
      <w:r>
        <w:rPr>
          <w:b/>
        </w:rPr>
        <w:t xml:space="preserve">In scope: </w:t>
      </w:r>
      <w:r>
        <w:t>Data extraction, cleaning, deduplication, and exploration using SQL; customer-level RFM calculations and segmentation using Python; a rule-based churn flag using a fixed 90-day inactivity threshold; an interactive, three-page Power BI dashboard; and analysis of customer segments, revenue contribution, purchasing trends, and inactivity.</w:t>
      </w:r>
    </w:p>
    <w:p>
      <w:r>
        <w:rPr>
          <w:b/>
        </w:rPr>
        <w:t xml:space="preserve">Out of scope: </w:t>
      </w:r>
      <w:r>
        <w:t>Predictive machine learning models for churn, individual product-level recommendations, real-time or automated customer scoring, and execution of marketing or retention campaigns.</w:t>
      </w:r>
    </w:p>
    <w:p>
      <w:pPr>
        <w:pStyle w:val="Heading1"/>
      </w:pPr>
      <w:r>
        <w:t>5. Data Source</w:t>
      </w:r>
    </w:p>
    <w:p>
      <w:r>
        <w:rPr>
          <w:b/>
        </w:rPr>
        <w:t xml:space="preserve">Dataset: </w:t>
      </w:r>
      <w:r>
        <w:t>Online Retail II</w:t>
      </w:r>
    </w:p>
    <w:p>
      <w:r>
        <w:rPr>
          <w:b/>
        </w:rPr>
        <w:t xml:space="preserve">Source: </w:t>
      </w:r>
      <w:r>
        <w:t xml:space="preserve">UCI Machine Learning Repository – </w:t>
      </w:r>
      <w:r>
        <w:t>https://archive.ics.uci.edu/dataset/502/online+retail+ii</w:t>
      </w:r>
    </w:p>
    <w:p>
      <w:r>
        <w:rPr>
          <w:b/>
        </w:rPr>
        <w:t xml:space="preserve">Contributor: </w:t>
      </w:r>
      <w:r>
        <w:t>Daqing Chen</w:t>
      </w:r>
    </w:p>
    <w:p>
      <w:r>
        <w:t>The dataset contains 1,067,371 transaction records covering invoices, product descriptions, quantities, unit prices, customer identifiers, invoice dates, and countries. It represents historical transactions from a UK-based online retailer over the period December 2009 to December 2011. The original dataset can be accessed through the official UCI Machine Learning Repository link above.</w:t>
      </w:r>
    </w:p>
    <w:p>
      <w:pPr>
        <w:pStyle w:val="Heading2"/>
      </w:pPr>
      <w:r>
        <w:t>Dataset Variables</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F4E79"/>
          </w:tcPr>
          <w:p>
            <w:pPr>
              <w:spacing w:after="20"/>
            </w:pPr>
            <w:r/>
            <w:r>
              <w:rPr>
                <w:rFonts w:ascii="Aptos" w:hAnsi="Aptos"/>
                <w:b/>
                <w:color w:val="FFFFFF"/>
                <w:sz w:val="18"/>
              </w:rPr>
              <w:t>Column</w:t>
            </w:r>
          </w:p>
        </w:tc>
        <w:tc>
          <w:tcPr>
            <w:tcW w:type="dxa" w:w="8352"/>
            <w:vAlign w:val="center"/>
            <w:shd w:fill="1F4E79"/>
          </w:tcPr>
          <w:p>
            <w:pPr>
              <w:spacing w:after="20"/>
            </w:pPr>
            <w:r/>
            <w:r>
              <w:rPr>
                <w:rFonts w:ascii="Aptos" w:hAnsi="Aptos"/>
                <w:b/>
                <w:color w:val="FFFFFF"/>
                <w:sz w:val="18"/>
              </w:rPr>
              <w:t>Description</w:t>
            </w:r>
          </w:p>
        </w:tc>
      </w:tr>
      <w:tr>
        <w:tc>
          <w:tcPr>
            <w:tcW w:type="dxa" w:w="2160"/>
            <w:vAlign w:val="center"/>
            <w:shd w:fill="F3F6F9"/>
          </w:tcPr>
          <w:p>
            <w:pPr>
              <w:spacing w:after="20"/>
            </w:pPr>
            <w:r/>
            <w:r>
              <w:rPr>
                <w:rFonts w:ascii="Aptos" w:hAnsi="Aptos"/>
                <w:b w:val="0"/>
                <w:sz w:val="18"/>
              </w:rPr>
              <w:t>InvoiceNo</w:t>
            </w:r>
          </w:p>
        </w:tc>
        <w:tc>
          <w:tcPr>
            <w:tcW w:type="dxa" w:w="8352"/>
            <w:vAlign w:val="center"/>
            <w:shd w:fill="F3F6F9"/>
          </w:tcPr>
          <w:p>
            <w:pPr>
              <w:spacing w:after="20"/>
            </w:pPr>
            <w:r/>
            <w:r>
              <w:rPr>
                <w:rFonts w:ascii="Aptos" w:hAnsi="Aptos"/>
                <w:b w:val="0"/>
                <w:sz w:val="18"/>
              </w:rPr>
              <w:t>Invoice number uniquely assigned to a transaction. Invoice numbers beginning with C indicate cancellations.</w:t>
            </w:r>
          </w:p>
        </w:tc>
      </w:tr>
      <w:tr>
        <w:tc>
          <w:tcPr>
            <w:tcW w:type="dxa" w:w="2160"/>
            <w:vAlign w:val="center"/>
          </w:tcPr>
          <w:p>
            <w:pPr>
              <w:spacing w:after="20"/>
            </w:pPr>
            <w:r/>
            <w:r>
              <w:rPr>
                <w:rFonts w:ascii="Aptos" w:hAnsi="Aptos"/>
                <w:b w:val="0"/>
                <w:sz w:val="18"/>
              </w:rPr>
              <w:t>StockCode</w:t>
            </w:r>
          </w:p>
        </w:tc>
        <w:tc>
          <w:tcPr>
            <w:tcW w:type="dxa" w:w="8352"/>
            <w:vAlign w:val="center"/>
          </w:tcPr>
          <w:p>
            <w:pPr>
              <w:spacing w:after="20"/>
            </w:pPr>
            <w:r/>
            <w:r>
              <w:rPr>
                <w:rFonts w:ascii="Aptos" w:hAnsi="Aptos"/>
                <w:b w:val="0"/>
                <w:sz w:val="18"/>
              </w:rPr>
              <w:t>Product code identifying a distinct product.</w:t>
            </w:r>
          </w:p>
        </w:tc>
      </w:tr>
      <w:tr>
        <w:tc>
          <w:tcPr>
            <w:tcW w:type="dxa" w:w="2160"/>
            <w:vAlign w:val="center"/>
            <w:shd w:fill="F3F6F9"/>
          </w:tcPr>
          <w:p>
            <w:pPr>
              <w:spacing w:after="20"/>
            </w:pPr>
            <w:r/>
            <w:r>
              <w:rPr>
                <w:rFonts w:ascii="Aptos" w:hAnsi="Aptos"/>
                <w:b w:val="0"/>
                <w:sz w:val="18"/>
              </w:rPr>
              <w:t>Description</w:t>
            </w:r>
          </w:p>
        </w:tc>
        <w:tc>
          <w:tcPr>
            <w:tcW w:type="dxa" w:w="8352"/>
            <w:vAlign w:val="center"/>
            <w:shd w:fill="F3F6F9"/>
          </w:tcPr>
          <w:p>
            <w:pPr>
              <w:spacing w:after="20"/>
            </w:pPr>
            <w:r/>
            <w:r>
              <w:rPr>
                <w:rFonts w:ascii="Aptos" w:hAnsi="Aptos"/>
                <w:b w:val="0"/>
                <w:sz w:val="18"/>
              </w:rPr>
              <w:t>Product name or description.</w:t>
            </w:r>
          </w:p>
        </w:tc>
      </w:tr>
      <w:tr>
        <w:tc>
          <w:tcPr>
            <w:tcW w:type="dxa" w:w="2160"/>
            <w:vAlign w:val="center"/>
          </w:tcPr>
          <w:p>
            <w:pPr>
              <w:spacing w:after="20"/>
            </w:pPr>
            <w:r/>
            <w:r>
              <w:rPr>
                <w:rFonts w:ascii="Aptos" w:hAnsi="Aptos"/>
                <w:b w:val="0"/>
                <w:sz w:val="18"/>
              </w:rPr>
              <w:t>Quantity</w:t>
            </w:r>
          </w:p>
        </w:tc>
        <w:tc>
          <w:tcPr>
            <w:tcW w:type="dxa" w:w="8352"/>
            <w:vAlign w:val="center"/>
          </w:tcPr>
          <w:p>
            <w:pPr>
              <w:spacing w:after="20"/>
            </w:pPr>
            <w:r/>
            <w:r>
              <w:rPr>
                <w:rFonts w:ascii="Aptos" w:hAnsi="Aptos"/>
                <w:b w:val="0"/>
                <w:sz w:val="18"/>
              </w:rPr>
              <w:t>Quantity of each product per transaction.</w:t>
            </w:r>
          </w:p>
        </w:tc>
      </w:tr>
      <w:tr>
        <w:tc>
          <w:tcPr>
            <w:tcW w:type="dxa" w:w="2160"/>
            <w:vAlign w:val="center"/>
            <w:shd w:fill="F3F6F9"/>
          </w:tcPr>
          <w:p>
            <w:pPr>
              <w:spacing w:after="20"/>
            </w:pPr>
            <w:r/>
            <w:r>
              <w:rPr>
                <w:rFonts w:ascii="Aptos" w:hAnsi="Aptos"/>
                <w:b w:val="0"/>
                <w:sz w:val="18"/>
              </w:rPr>
              <w:t>InvoiceDate</w:t>
            </w:r>
          </w:p>
        </w:tc>
        <w:tc>
          <w:tcPr>
            <w:tcW w:type="dxa" w:w="8352"/>
            <w:vAlign w:val="center"/>
            <w:shd w:fill="F3F6F9"/>
          </w:tcPr>
          <w:p>
            <w:pPr>
              <w:spacing w:after="20"/>
            </w:pPr>
            <w:r/>
            <w:r>
              <w:rPr>
                <w:rFonts w:ascii="Aptos" w:hAnsi="Aptos"/>
                <w:b w:val="0"/>
                <w:sz w:val="18"/>
              </w:rPr>
              <w:t>Date and time when the transaction was generated.</w:t>
            </w:r>
          </w:p>
        </w:tc>
      </w:tr>
      <w:tr>
        <w:tc>
          <w:tcPr>
            <w:tcW w:type="dxa" w:w="2160"/>
            <w:vAlign w:val="center"/>
          </w:tcPr>
          <w:p>
            <w:pPr>
              <w:spacing w:after="20"/>
            </w:pPr>
            <w:r/>
            <w:r>
              <w:rPr>
                <w:rFonts w:ascii="Aptos" w:hAnsi="Aptos"/>
                <w:b w:val="0"/>
                <w:sz w:val="18"/>
              </w:rPr>
              <w:t>UnitPrice</w:t>
            </w:r>
          </w:p>
        </w:tc>
        <w:tc>
          <w:tcPr>
            <w:tcW w:type="dxa" w:w="8352"/>
            <w:vAlign w:val="center"/>
          </w:tcPr>
          <w:p>
            <w:pPr>
              <w:spacing w:after="20"/>
            </w:pPr>
            <w:r/>
            <w:r>
              <w:rPr>
                <w:rFonts w:ascii="Aptos" w:hAnsi="Aptos"/>
                <w:b w:val="0"/>
                <w:sz w:val="18"/>
              </w:rPr>
              <w:t>Price per unit in British pounds sterling (£).</w:t>
            </w:r>
          </w:p>
        </w:tc>
      </w:tr>
      <w:tr>
        <w:tc>
          <w:tcPr>
            <w:tcW w:type="dxa" w:w="2160"/>
            <w:vAlign w:val="center"/>
            <w:shd w:fill="F3F6F9"/>
          </w:tcPr>
          <w:p>
            <w:pPr>
              <w:spacing w:after="20"/>
            </w:pPr>
            <w:r/>
            <w:r>
              <w:rPr>
                <w:rFonts w:ascii="Aptos" w:hAnsi="Aptos"/>
                <w:b w:val="0"/>
                <w:sz w:val="18"/>
              </w:rPr>
              <w:t>CustomerID</w:t>
            </w:r>
          </w:p>
        </w:tc>
        <w:tc>
          <w:tcPr>
            <w:tcW w:type="dxa" w:w="8352"/>
            <w:vAlign w:val="center"/>
            <w:shd w:fill="F3F6F9"/>
          </w:tcPr>
          <w:p>
            <w:pPr>
              <w:spacing w:after="20"/>
            </w:pPr>
            <w:r/>
            <w:r>
              <w:rPr>
                <w:rFonts w:ascii="Aptos" w:hAnsi="Aptos"/>
                <w:b w:val="0"/>
                <w:sz w:val="18"/>
              </w:rPr>
              <w:t>Identifier assigned to a customer; may be missing for some transactions.</w:t>
            </w:r>
          </w:p>
        </w:tc>
      </w:tr>
      <w:tr>
        <w:tc>
          <w:tcPr>
            <w:tcW w:type="dxa" w:w="2160"/>
            <w:vAlign w:val="center"/>
          </w:tcPr>
          <w:p>
            <w:pPr>
              <w:spacing w:after="20"/>
            </w:pPr>
            <w:r/>
            <w:r>
              <w:rPr>
                <w:rFonts w:ascii="Aptos" w:hAnsi="Aptos"/>
                <w:b w:val="0"/>
                <w:sz w:val="18"/>
              </w:rPr>
              <w:t>Country</w:t>
            </w:r>
          </w:p>
        </w:tc>
        <w:tc>
          <w:tcPr>
            <w:tcW w:type="dxa" w:w="8352"/>
            <w:vAlign w:val="center"/>
          </w:tcPr>
          <w:p>
            <w:pPr>
              <w:spacing w:after="20"/>
            </w:pPr>
            <w:r/>
            <w:r>
              <w:rPr>
                <w:rFonts w:ascii="Aptos" w:hAnsi="Aptos"/>
                <w:b w:val="0"/>
                <w:sz w:val="18"/>
              </w:rPr>
              <w:t>Country where the customer resides.</w:t>
            </w:r>
          </w:p>
        </w:tc>
      </w:tr>
    </w:tbl>
    <w:p>
      <w:pPr>
        <w:spacing w:after="20"/>
      </w:pPr>
    </w:p>
    <w:p>
      <w:pPr>
        <w:pStyle w:val="Heading1"/>
      </w:pPr>
      <w:r>
        <w:t>6. Key Definitions</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F4E79"/>
          </w:tcPr>
          <w:p>
            <w:pPr>
              <w:spacing w:after="20"/>
            </w:pPr>
            <w:r/>
            <w:r>
              <w:rPr>
                <w:rFonts w:ascii="Aptos" w:hAnsi="Aptos"/>
                <w:b/>
                <w:color w:val="FFFFFF"/>
                <w:sz w:val="18"/>
              </w:rPr>
              <w:t>Term</w:t>
            </w:r>
          </w:p>
        </w:tc>
        <w:tc>
          <w:tcPr>
            <w:tcW w:type="dxa" w:w="8352"/>
            <w:vAlign w:val="center"/>
            <w:shd w:fill="1F4E79"/>
          </w:tcPr>
          <w:p>
            <w:pPr>
              <w:spacing w:after="20"/>
            </w:pPr>
            <w:r/>
            <w:r>
              <w:rPr>
                <w:rFonts w:ascii="Aptos" w:hAnsi="Aptos"/>
                <w:b/>
                <w:color w:val="FFFFFF"/>
                <w:sz w:val="18"/>
              </w:rPr>
              <w:t>Definition</w:t>
            </w:r>
          </w:p>
        </w:tc>
      </w:tr>
      <w:tr>
        <w:tc>
          <w:tcPr>
            <w:tcW w:type="dxa" w:w="2160"/>
            <w:vAlign w:val="center"/>
            <w:shd w:fill="F3F6F9"/>
          </w:tcPr>
          <w:p>
            <w:pPr>
              <w:spacing w:after="20"/>
            </w:pPr>
            <w:r/>
            <w:r>
              <w:rPr>
                <w:rFonts w:ascii="Aptos" w:hAnsi="Aptos"/>
                <w:b w:val="0"/>
                <w:sz w:val="18"/>
              </w:rPr>
              <w:t>Recency</w:t>
            </w:r>
          </w:p>
        </w:tc>
        <w:tc>
          <w:tcPr>
            <w:tcW w:type="dxa" w:w="8352"/>
            <w:vAlign w:val="center"/>
            <w:shd w:fill="F3F6F9"/>
          </w:tcPr>
          <w:p>
            <w:pPr>
              <w:spacing w:after="20"/>
            </w:pPr>
            <w:r/>
            <w:r>
              <w:rPr>
                <w:rFonts w:ascii="Aptos" w:hAnsi="Aptos"/>
                <w:b w:val="0"/>
                <w:sz w:val="18"/>
              </w:rPr>
              <w:t>Number of days since a customer's most recent purchase.</w:t>
            </w:r>
          </w:p>
        </w:tc>
      </w:tr>
      <w:tr>
        <w:tc>
          <w:tcPr>
            <w:tcW w:type="dxa" w:w="2160"/>
            <w:vAlign w:val="center"/>
          </w:tcPr>
          <w:p>
            <w:pPr>
              <w:spacing w:after="20"/>
            </w:pPr>
            <w:r/>
            <w:r>
              <w:rPr>
                <w:rFonts w:ascii="Aptos" w:hAnsi="Aptos"/>
                <w:b w:val="0"/>
                <w:sz w:val="18"/>
              </w:rPr>
              <w:t>Frequency</w:t>
            </w:r>
          </w:p>
        </w:tc>
        <w:tc>
          <w:tcPr>
            <w:tcW w:type="dxa" w:w="8352"/>
            <w:vAlign w:val="center"/>
          </w:tcPr>
          <w:p>
            <w:pPr>
              <w:spacing w:after="20"/>
            </w:pPr>
            <w:r/>
            <w:r>
              <w:rPr>
                <w:rFonts w:ascii="Aptos" w:hAnsi="Aptos"/>
                <w:b w:val="0"/>
                <w:sz w:val="18"/>
              </w:rPr>
              <w:t>Number of distinct purchase transactions made by a customer during the analysis period.</w:t>
            </w:r>
          </w:p>
        </w:tc>
      </w:tr>
      <w:tr>
        <w:tc>
          <w:tcPr>
            <w:tcW w:type="dxa" w:w="2160"/>
            <w:vAlign w:val="center"/>
            <w:shd w:fill="F3F6F9"/>
          </w:tcPr>
          <w:p>
            <w:pPr>
              <w:spacing w:after="20"/>
            </w:pPr>
            <w:r/>
            <w:r>
              <w:rPr>
                <w:rFonts w:ascii="Aptos" w:hAnsi="Aptos"/>
                <w:b w:val="0"/>
                <w:sz w:val="18"/>
              </w:rPr>
              <w:t>Monetary Value</w:t>
            </w:r>
          </w:p>
        </w:tc>
        <w:tc>
          <w:tcPr>
            <w:tcW w:type="dxa" w:w="8352"/>
            <w:vAlign w:val="center"/>
            <w:shd w:fill="F3F6F9"/>
          </w:tcPr>
          <w:p>
            <w:pPr>
              <w:spacing w:after="20"/>
            </w:pPr>
            <w:r/>
            <w:r>
              <w:rPr>
                <w:rFonts w:ascii="Aptos" w:hAnsi="Aptos"/>
                <w:b w:val="0"/>
                <w:sz w:val="18"/>
              </w:rPr>
              <w:t>Total revenue generated by a customer during the analysis period.</w:t>
            </w:r>
          </w:p>
        </w:tc>
      </w:tr>
      <w:tr>
        <w:tc>
          <w:tcPr>
            <w:tcW w:type="dxa" w:w="2160"/>
            <w:vAlign w:val="center"/>
          </w:tcPr>
          <w:p>
            <w:pPr>
              <w:spacing w:after="20"/>
            </w:pPr>
            <w:r/>
            <w:r>
              <w:rPr>
                <w:rFonts w:ascii="Aptos" w:hAnsi="Aptos"/>
                <w:b w:val="0"/>
                <w:sz w:val="18"/>
              </w:rPr>
              <w:t>Churn Flag</w:t>
            </w:r>
          </w:p>
        </w:tc>
        <w:tc>
          <w:tcPr>
            <w:tcW w:type="dxa" w:w="8352"/>
            <w:vAlign w:val="center"/>
          </w:tcPr>
          <w:p>
            <w:pPr>
              <w:spacing w:after="20"/>
            </w:pPr>
            <w:r/>
            <w:r>
              <w:rPr>
                <w:rFonts w:ascii="Aptos" w:hAnsi="Aptos"/>
                <w:b w:val="0"/>
                <w:sz w:val="18"/>
              </w:rPr>
              <w:t>A rule-based indicator identifying customers with more than 90 days since their last purchase.</w:t>
            </w:r>
          </w:p>
        </w:tc>
      </w:tr>
    </w:tbl>
    <w:p>
      <w:pPr>
        <w:spacing w:after="20"/>
      </w:pPr>
    </w:p>
    <w:p>
      <w:pPr>
        <w:pStyle w:val="Heading1"/>
      </w:pPr>
      <w:r>
        <w:t>7. Customer Segments</w:t>
      </w:r>
    </w:p>
    <w:p>
      <w:r>
        <w:t>The analysis classifies customers into six segments based on RFM scores and the project's segmentation rules.</w:t>
      </w:r>
    </w:p>
    <w:p>
      <w:pPr>
        <w:pStyle w:val="ListBullet"/>
        <w:spacing w:after="40"/>
      </w:pPr>
      <w:r>
        <w:t>Champions: Highly valuable customers with strong purchasing behaviour.</w:t>
      </w:r>
    </w:p>
    <w:p>
      <w:pPr>
        <w:pStyle w:val="ListBullet"/>
        <w:spacing w:after="40"/>
      </w:pPr>
      <w:r>
        <w:t>Loyal: Customers with consistent purchase activity.</w:t>
      </w:r>
    </w:p>
    <w:p>
      <w:pPr>
        <w:pStyle w:val="ListBullet"/>
        <w:spacing w:after="40"/>
      </w:pPr>
      <w:r>
        <w:t>At Risk: Previously valuable customers who may require re-engagement.</w:t>
      </w:r>
    </w:p>
    <w:p>
      <w:pPr>
        <w:pStyle w:val="ListBullet"/>
        <w:spacing w:after="40"/>
      </w:pPr>
      <w:r>
        <w:t>New: Customers with recent purchases but limited purchase history.</w:t>
      </w:r>
    </w:p>
    <w:p>
      <w:pPr>
        <w:pStyle w:val="ListBullet"/>
        <w:spacing w:after="40"/>
      </w:pPr>
      <w:r>
        <w:t>Needs Attention: Customers who may benefit from targeted engagement.</w:t>
      </w:r>
    </w:p>
    <w:p>
      <w:pPr>
        <w:pStyle w:val="ListBullet"/>
        <w:spacing w:after="40"/>
      </w:pPr>
      <w:r>
        <w:t>Lost: Customers with prolonged inactivity.</w:t>
      </w:r>
    </w:p>
    <w:p>
      <w:r>
        <w:t>These labels are analytical categories used to interpret customer behaviour; they do not guarantee future purchasing activity.</w:t>
      </w:r>
    </w:p>
    <w:p>
      <w:pPr>
        <w:pStyle w:val="Heading1"/>
      </w:pPr>
      <w:r>
        <w:t>8. Deliverables</w:t>
      </w:r>
    </w:p>
    <w:p>
      <w:pPr>
        <w:pStyle w:val="ListBullet"/>
        <w:spacing w:after="40"/>
      </w:pPr>
      <w:r>
        <w:t>A cleaned and deduplicated transaction dataset.</w:t>
      </w:r>
    </w:p>
    <w:p>
      <w:pPr>
        <w:pStyle w:val="ListBullet"/>
        <w:spacing w:after="40"/>
      </w:pPr>
      <w:r>
        <w:t>Customer-level RFM scores and segment assignments.</w:t>
      </w:r>
    </w:p>
    <w:p>
      <w:pPr>
        <w:pStyle w:val="ListBullet"/>
        <w:spacing w:after="40"/>
      </w:pPr>
      <w:r>
        <w:t>A customer churn-flag analysis based on the 90-day inactivity threshold.</w:t>
      </w:r>
    </w:p>
    <w:p>
      <w:pPr>
        <w:pStyle w:val="ListBullet"/>
        <w:spacing w:after="40"/>
      </w:pPr>
      <w:r>
        <w:t>A three-page Power BI dashboard consisting of a Home page, Business Overview page, and RFM Analysis page.</w:t>
      </w:r>
    </w:p>
    <w:p>
      <w:pPr>
        <w:pStyle w:val="ListBullet"/>
        <w:spacing w:after="40"/>
      </w:pPr>
      <w:r>
        <w:t>A summary of key analytical findings and customer segment insights.</w:t>
      </w:r>
    </w:p>
    <w:p>
      <w:pPr>
        <w:pStyle w:val="Heading1"/>
      </w:pPr>
      <w:r>
        <w:t>9. Success Criteria</w:t>
      </w:r>
    </w:p>
    <w:p>
      <w:r>
        <w:t>The analysis is considered complete when:</w:t>
      </w:r>
    </w:p>
    <w:p>
      <w:pPr>
        <w:pStyle w:val="ListBullet"/>
        <w:spacing w:after="40"/>
      </w:pPr>
      <w:r>
        <w:t>The dashboard clearly communicates customer segment sizes and their relative revenue contribution.</w:t>
      </w:r>
    </w:p>
    <w:p>
      <w:pPr>
        <w:pStyle w:val="ListBullet"/>
        <w:spacing w:after="40"/>
      </w:pPr>
      <w:r>
        <w:t>The inactivity-based churn population is clearly defined.</w:t>
      </w:r>
    </w:p>
    <w:p>
      <w:pPr>
        <w:pStyle w:val="ListBullet"/>
        <w:spacing w:after="40"/>
      </w:pPr>
      <w:r>
        <w:t>Customer value and purchasing trends can be explored through appropriate dashboard filters.</w:t>
      </w:r>
    </w:p>
    <w:p>
      <w:pPr>
        <w:pStyle w:val="ListBullet"/>
        <w:spacing w:after="40"/>
      </w:pPr>
      <w:r>
        <w:t>Findings can be traced back to the source data through a documented and repeatable workflow.</w:t>
      </w:r>
    </w:p>
    <w:p>
      <w:pPr>
        <w:pStyle w:val="Heading1"/>
      </w:pPr>
      <w:r>
        <w:t>10. Stakeholders</w:t>
      </w:r>
    </w:p>
    <w:p>
      <w:r>
        <w:t>The intended audiences for this portfolio analysis are:</w:t>
      </w:r>
    </w:p>
    <w:p>
      <w:pPr>
        <w:pStyle w:val="ListBullet"/>
        <w:spacing w:after="40"/>
      </w:pPr>
      <w:r>
        <w:t>Marketing teams: To understand customer value and purchasing behaviour.</w:t>
      </w:r>
    </w:p>
    <w:p>
      <w:pPr>
        <w:pStyle w:val="ListBullet"/>
        <w:spacing w:after="40"/>
      </w:pPr>
      <w:r>
        <w:t>CRM and Retention teams: To identify customer groups that may need re-engagement.</w:t>
      </w:r>
    </w:p>
    <w:p>
      <w:pPr>
        <w:pStyle w:val="ListBullet"/>
        <w:spacing w:after="40"/>
      </w:pPr>
      <w:r>
        <w:t>Business leadership: To review customer value, revenue contribution, and inactivity trends.</w:t>
      </w:r>
    </w:p>
    <w:p>
      <w:r>
        <w:t>These are intended stakeholder groups for the proposed analytical use case, not confirmed stakeholders of a real client engagement.</w:t>
      </w:r>
    </w:p>
    <w:p>
      <w:pPr>
        <w:pStyle w:val="Heading1"/>
      </w:pPr>
      <w:r>
        <w:t>11. Assumptions and Constraints</w:t>
      </w:r>
    </w:p>
    <w:p>
      <w:pPr>
        <w:pStyle w:val="ListBullet"/>
        <w:spacing w:after="40"/>
      </w:pPr>
      <w:r>
        <w:t>Churn is identified using a fixed 90-day inactivity threshold for simplicity and interpretability.</w:t>
      </w:r>
    </w:p>
    <w:p>
      <w:pPr>
        <w:pStyle w:val="ListBullet"/>
        <w:spacing w:after="40"/>
      </w:pPr>
      <w:r>
        <w:t>The churn flag is rule-based and is not a predictive machine learning model.</w:t>
      </w:r>
    </w:p>
    <w:p>
      <w:pPr>
        <w:pStyle w:val="ListBullet"/>
        <w:spacing w:after="40"/>
      </w:pPr>
      <w:r>
        <w:t>Wholesale and individual retail customers are not separated unless the available data supports that distinction.</w:t>
      </w:r>
    </w:p>
    <w:p>
      <w:pPr>
        <w:pStyle w:val="ListBullet"/>
        <w:spacing w:after="40"/>
      </w:pPr>
      <w:r>
        <w:t>The analysis reflects historical transaction data and does not account for external factors such as promotional calendars or other drivers of seasonality.</w:t>
      </w:r>
    </w:p>
    <w:p>
      <w:pPr>
        <w:pStyle w:val="ListBullet"/>
        <w:spacing w:after="40"/>
      </w:pPr>
      <w:r>
        <w:t>Results depend on data quality, cleaning decisions, the analysis period, and the selected segmentation rules.</w:t>
      </w:r>
    </w:p>
    <w:p>
      <w:pPr>
        <w:pStyle w:val="Heading1"/>
      </w:pPr>
      <w:r>
        <w:t>12. Analysis Reference</w:t>
      </w:r>
    </w:p>
    <w:p>
      <w:r>
        <w:t>The analysis uses 10 December 2011 as the snapshot date, the day after the last transaction date of 9 December 2011. RFM scores are assigned on a scale of 1 to 5. Higher Recency scores represent more recent purchases, while higher Frequency and Monetary scores generally represent more frequent purchasing and greater customer spending. The 90-day inactivity rule is used separately to flag customers whose last recorded purchase was more than 90 days before the snapshot date.</w:t>
      </w:r>
    </w:p>
    <w:p>
      <w:pPr>
        <w:pStyle w:val="Heading1"/>
      </w:pPr>
      <w:r>
        <w:t>13. Expected Outcome</w:t>
      </w:r>
    </w:p>
    <w:p>
      <w:r>
        <w:t>This project demonstrates an end-to-end data analytics workflow combining SQL-based data preparation, Python-based customer segmentation, and Power BI reporting. The final outcome is a structured view of customer value, purchasing behaviour, segment-level revenue contribution, and inactivity patterns to support data-driven business analysis.</w:t>
      </w:r>
    </w:p>
    <w:p>
      <w:pPr>
        <w:spacing w:before="240"/>
        <w:jc w:val="center"/>
      </w:pPr>
      <w:r>
        <w:rPr>
          <w:i/>
          <w:color w:val="595959"/>
          <w:sz w:val="18"/>
        </w:rPr>
        <w:t>Prepared as part of the E-commerce Customer Analytics &amp; RFM Segmentation portfolio project.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