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4"/>
          <w:szCs w:val="24"/>
          <w:u w:val="single"/>
        </w:rPr>
      </w:pPr>
      <w:r w:rsidDel="00000000" w:rsidR="00000000" w:rsidRPr="00000000">
        <w:rPr>
          <w:b w:val="1"/>
          <w:bCs w:val="1"/>
          <w:sz w:val="24"/>
          <w:szCs w:val="24"/>
          <w:u w:val="single"/>
          <w:rtl w:val="0"/>
        </w:rPr>
        <w:t xml:space="preserve">Literature Review: Youth-Driven Peer-to-Peer Pet and Plant Care Platforms</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The expansion of peer-to-peer service platforms has transformed how pet and plant owners access care, especially through apps and marketplaces focused on convenience, trust, and temporary engagement. Recent developments emphasize matching algorithms, mobile communication tools, AI-enabled support, and growing youth participation in gig work.</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Alshebami (2025) analyzed the ripple effects of gig economy engagement, showing that hands-on experience in task-based work (including pet and plant care) strengthens community ties and entrepreneurial intent, especially for young workers. The study found that digital gig platforms empower youth with flexible income, skill building, and broader social networks, supporting increased involvement in local care jobs.​</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Galardi et al. (2021) explored the “Green Care” framework, where animal-assisted interventions and horticulture activities are integrated. Their research showed that combining “taking care of animals” and “taking care of plants” offers a holistic approach, with significant wellbeing benefits for providers and recipients. However, most existing platforms do not merge both domains into a single service or enable youth as primary care providers.​</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sz w:val="24"/>
          <w:szCs w:val="24"/>
          <w:rtl w:val="0"/>
        </w:rPr>
        <w:t xml:space="preserve">Fatbit (2025) provided a marketplace analysis of major peer-to-peer pet care apps such as Rover and Pawshake, highlighting features like geolocation matching, rich user profiles, in-app messaging, and ratings. The overview concluded that platforms emphasizing trust and transparency have higher owner engagement and satisfaction, but these apps focus largely on adult providers and exclude integrated plant care or special community engagement features for youth.​</w:t>
      </w:r>
      <w:r w:rsidDel="00000000" w:rsidR="00000000" w:rsidRPr="00000000">
        <w:rPr>
          <w:rtl w:val="0"/>
        </w:rPr>
      </w:r>
    </w:p>
    <w:p w:rsidR="00000000" w:rsidDel="00000000" w:rsidP="00000000" w:rsidRDefault="00000000" w:rsidRPr="00000000" w14:paraId="00000009">
      <w:pPr>
        <w:spacing w:after="240" w:before="240" w:lineRule="auto"/>
        <w:ind w:left="0" w:right="600" w:firstLine="0"/>
        <w:rPr/>
      </w:pPr>
      <w:r w:rsidDel="00000000" w:rsidR="00000000" w:rsidRPr="00000000">
        <w:rPr>
          <w:rtl w:val="0"/>
        </w:rPr>
        <w:t xml:space="preserve">Beyond domain-specific pet and plant platforms, research on recommender systems provides the technical foundations for how matching can be optimized in platforms like </w:t>
      </w:r>
      <w:r w:rsidDel="00000000" w:rsidR="00000000" w:rsidRPr="00000000">
        <w:rPr>
          <w:i w:val="1"/>
          <w:iCs w:val="1"/>
          <w:rtl w:val="0"/>
        </w:rPr>
        <w:t xml:space="preserve">Livin</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Springer Nature Link (2025) detailed Netflix's method of matching users to content recommendations, and although the domain is different from our job-posting project, the technical principles can still be applied. The article specifically contrasts Collaborative Filtering (CF), which suggests items based on the collective behavior of similar users, with Content-Based (CB) Filtering, which matches users based on the descriptive attributes of the item and the user's historical preferences. In our application, a successful job-to-helper match will require a hybrid approach that uses CB to ensure essential requirements (e.g., matching "large dogs" to "large dog experience") and CF to leverage user ratings and feedback for high-quality, community-validated recommendations. </w:t>
      </w:r>
      <w:r w:rsidDel="00000000" w:rsidR="00000000" w:rsidRPr="00000000">
        <w:rPr>
          <w:rtl w:val="0"/>
        </w:rPr>
        <w:t xml:space="preserve">In our application, this implies a hybrid recommender that first filters by hard constraints (distance, pet type, required services) and then ranks candidates using collaborative signals such as past ratings and successful matches.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the context of peer‑to‑peer and sharing‑economy platforms, Badis et al. (2021) proposed a collaborative filtering–based recommender system designed specifically for social networks, where users are matched based on similarity in preferences, interactions, and trust relations. Their model showed that incorporating both user–item interactions and social ties significantly improves recommendation accuracy and user satisfaction compared to simple content-based approaches. This supports the idea that a platform like Livin can enhance its matching quality by combining explicit job parameters (distance, type of care) with behavioral and social signals when recommending suitable caretakers.</w:t>
      </w: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Taken together, these sources reveal that while existing platforms address matching, trust, and gig-based work, gaps remain. There is still a lack of fully integrated, youth-friendly platforms that unite pet and plant care and offer staged trust-building features before service initiation. This is the space where Livin stands to innovate.</w:t>
      </w:r>
    </w:p>
    <w:p w:rsidR="00000000" w:rsidDel="00000000" w:rsidP="00000000" w:rsidRDefault="00000000" w:rsidRPr="00000000" w14:paraId="0000000E">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360" w:lineRule="auto"/>
        <w:rPr>
          <w:b w:val="1"/>
          <w:bCs w:val="1"/>
          <w:u w:val="single"/>
        </w:rPr>
      </w:pPr>
      <w:r w:rsidDel="00000000" w:rsidR="00000000" w:rsidRPr="00000000">
        <w:rPr>
          <w:rtl w:val="0"/>
        </w:rPr>
      </w:r>
    </w:p>
    <w:p w:rsidR="00000000" w:rsidDel="00000000" w:rsidP="00000000" w:rsidRDefault="00000000" w:rsidRPr="00000000" w14:paraId="00000010">
      <w:pPr>
        <w:spacing w:line="360" w:lineRule="auto"/>
        <w:rPr>
          <w:b w:val="1"/>
          <w:bCs w:val="1"/>
          <w:u w:val="single"/>
        </w:rPr>
      </w:pPr>
      <w:r w:rsidDel="00000000" w:rsidR="00000000" w:rsidRPr="00000000">
        <w:rPr>
          <w:rtl w:val="0"/>
        </w:rPr>
      </w:r>
    </w:p>
    <w:p w:rsidR="00000000" w:rsidDel="00000000" w:rsidP="00000000" w:rsidRDefault="00000000" w:rsidRPr="00000000" w14:paraId="00000011">
      <w:pPr>
        <w:spacing w:line="360" w:lineRule="auto"/>
        <w:rPr>
          <w:b w:val="1"/>
          <w:bCs w:val="1"/>
          <w:u w:val="single"/>
        </w:rPr>
      </w:pPr>
      <w:r w:rsidDel="00000000" w:rsidR="00000000" w:rsidRPr="00000000">
        <w:rPr>
          <w:rtl w:val="0"/>
        </w:rPr>
      </w:r>
    </w:p>
    <w:p w:rsidR="00000000" w:rsidDel="00000000" w:rsidP="00000000" w:rsidRDefault="00000000" w:rsidRPr="00000000" w14:paraId="00000012">
      <w:pPr>
        <w:spacing w:line="360" w:lineRule="auto"/>
        <w:rPr>
          <w:b w:val="1"/>
          <w:bCs w:val="1"/>
          <w:u w:val="single"/>
        </w:rPr>
      </w:pPr>
      <w:r w:rsidDel="00000000" w:rsidR="00000000" w:rsidRPr="00000000">
        <w:rPr>
          <w:b w:val="1"/>
          <w:bCs w:val="1"/>
          <w:sz w:val="24"/>
          <w:szCs w:val="24"/>
          <w:u w:val="single"/>
          <w:rtl w:val="0"/>
        </w:rPr>
        <w:t xml:space="preserve">References</w:t>
      </w: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sz w:val="24"/>
          <w:szCs w:val="24"/>
          <w:rtl w:val="0"/>
        </w:rPr>
        <w:t xml:space="preserve">Alshebami, A. S. (2025). Ripple Effect of Gig Work: How Hands-On Experience and Entrepreneurial Intentions Shape Community Engagement. </w:t>
      </w:r>
      <w:r w:rsidDel="00000000" w:rsidR="00000000" w:rsidRPr="00000000">
        <w:rPr>
          <w:i w:val="1"/>
          <w:iCs w:val="1"/>
          <w:sz w:val="24"/>
          <w:szCs w:val="24"/>
          <w:rtl w:val="0"/>
        </w:rPr>
        <w:t xml:space="preserve">Journal of Gig Economy Research</w:t>
      </w:r>
      <w:r w:rsidDel="00000000" w:rsidR="00000000" w:rsidRPr="00000000">
        <w:rPr>
          <w:sz w:val="24"/>
          <w:szCs w:val="24"/>
          <w:rtl w:val="0"/>
        </w:rPr>
        <w:t xml:space="preserve">. </w:t>
      </w:r>
    </w:p>
    <w:p w:rsidR="00000000" w:rsidDel="00000000" w:rsidP="00000000" w:rsidRDefault="00000000" w:rsidRPr="00000000" w14:paraId="00000014">
      <w:pPr>
        <w:spacing w:line="360" w:lineRule="auto"/>
        <w:rPr>
          <w:sz w:val="24"/>
          <w:szCs w:val="24"/>
          <w:u w:val="single"/>
        </w:rPr>
      </w:pPr>
      <w:hyperlink r:id="rId7">
        <w:r w:rsidDel="00000000" w:rsidR="00000000" w:rsidRPr="00000000">
          <w:rPr>
            <w:color w:val="0563c1"/>
            <w:sz w:val="24"/>
            <w:szCs w:val="24"/>
            <w:u w:val="single"/>
            <w:rtl w:val="0"/>
          </w:rPr>
          <w:t xml:space="preserve">https://www.sciencedirect.com/science/article/pii/S2773032825000239</w:t>
        </w:r>
      </w:hyperlink>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sz w:val="24"/>
          <w:szCs w:val="24"/>
          <w:rtl w:val="0"/>
        </w:rPr>
        <w:t xml:space="preserve">Galardi, M. et al. (2021). Animal Assisted Interventions in the Green Care Framework. </w:t>
      </w:r>
      <w:r w:rsidDel="00000000" w:rsidR="00000000" w:rsidRPr="00000000">
        <w:rPr>
          <w:i w:val="1"/>
          <w:iCs w:val="1"/>
          <w:sz w:val="24"/>
          <w:szCs w:val="24"/>
          <w:rtl w:val="0"/>
        </w:rPr>
        <w:t xml:space="preserve">International Journal of Environmental Research and Public Health</w:t>
      </w:r>
      <w:r w:rsidDel="00000000" w:rsidR="00000000" w:rsidRPr="00000000">
        <w:rPr>
          <w:sz w:val="24"/>
          <w:szCs w:val="24"/>
          <w:rtl w:val="0"/>
        </w:rPr>
        <w:t xml:space="preserve">, 18(24), Article PMC8468905. </w:t>
      </w:r>
    </w:p>
    <w:p w:rsidR="00000000" w:rsidDel="00000000" w:rsidP="00000000" w:rsidRDefault="00000000" w:rsidRPr="00000000" w14:paraId="00000016">
      <w:pPr>
        <w:spacing w:line="360" w:lineRule="auto"/>
        <w:rPr>
          <w:sz w:val="24"/>
          <w:szCs w:val="24"/>
          <w:u w:val="single"/>
        </w:rPr>
      </w:pPr>
      <w:hyperlink r:id="rId8">
        <w:r w:rsidDel="00000000" w:rsidR="00000000" w:rsidRPr="00000000">
          <w:rPr>
            <w:color w:val="0563c1"/>
            <w:sz w:val="24"/>
            <w:szCs w:val="24"/>
            <w:u w:val="single"/>
            <w:rtl w:val="0"/>
          </w:rPr>
          <w:t xml:space="preserve">https://pmc.ncbi.nlm.nih.gov/articles/PMC8468905/</w:t>
        </w:r>
      </w:hyperlink>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sz w:val="24"/>
          <w:szCs w:val="24"/>
          <w:rtl w:val="0"/>
        </w:rPr>
        <w:t xml:space="preserve">Fatbit. (2025). Features to Launch Marketplace for Pet Owners and Sitters. </w:t>
      </w:r>
      <w:r w:rsidDel="00000000" w:rsidR="00000000" w:rsidRPr="00000000">
        <w:rPr>
          <w:i w:val="1"/>
          <w:iCs w:val="1"/>
          <w:sz w:val="24"/>
          <w:szCs w:val="24"/>
          <w:rtl w:val="0"/>
        </w:rPr>
        <w:t xml:space="preserve">FAB</w:t>
      </w:r>
      <w:r w:rsidDel="00000000" w:rsidR="00000000" w:rsidRPr="00000000">
        <w:rPr>
          <w:sz w:val="24"/>
          <w:szCs w:val="24"/>
          <w:rtl w:val="0"/>
        </w:rPr>
        <w:t xml:space="preserve">. </w:t>
      </w:r>
    </w:p>
    <w:p w:rsidR="00000000" w:rsidDel="00000000" w:rsidP="00000000" w:rsidRDefault="00000000" w:rsidRPr="00000000" w14:paraId="00000018">
      <w:pPr>
        <w:spacing w:line="360" w:lineRule="auto"/>
        <w:rPr>
          <w:sz w:val="24"/>
          <w:szCs w:val="24"/>
          <w:u w:val="single"/>
        </w:rPr>
      </w:pPr>
      <w:hyperlink r:id="rId9">
        <w:r w:rsidDel="00000000" w:rsidR="00000000" w:rsidRPr="00000000">
          <w:rPr>
            <w:color w:val="0563c1"/>
            <w:sz w:val="24"/>
            <w:szCs w:val="24"/>
            <w:u w:val="single"/>
            <w:rtl w:val="0"/>
          </w:rPr>
          <w:t xml:space="preserve">https://www.fatbit.com/fab/launch-pet-care-platform-to-connect-dog-owners-and-sitters/</w:t>
        </w:r>
      </w:hyperlink>
      <w:r w:rsidDel="00000000" w:rsidR="00000000" w:rsidRPr="00000000">
        <w:rPr>
          <w:rtl w:val="0"/>
        </w:rPr>
      </w:r>
    </w:p>
    <w:p w:rsidR="00000000" w:rsidDel="00000000" w:rsidP="00000000" w:rsidRDefault="00000000" w:rsidRPr="00000000" w14:paraId="00000019">
      <w:pPr>
        <w:rPr>
          <w:u w:val="single"/>
        </w:rPr>
      </w:pPr>
      <w:r w:rsidDel="00000000" w:rsidR="00000000" w:rsidRPr="00000000">
        <w:rPr>
          <w:rtl w:val="0"/>
        </w:rPr>
        <w:t xml:space="preserve">Munson, J., Cummins, B., &amp; Zosso, D. (2025). An introduction to collaborative filtering through the lens of the Netflix Prize. </w:t>
      </w:r>
      <w:hyperlink r:id="rId10">
        <w:r w:rsidDel="00000000" w:rsidR="00000000" w:rsidRPr="00000000">
          <w:rPr>
            <w:color w:val="1155cc"/>
            <w:u w:val="single"/>
            <w:rtl w:val="0"/>
          </w:rPr>
          <w:t xml:space="preserve">https://link.springer.com/article/10.1007/s10115-024-02315-z</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Badis, L., Amad, M., Aïssani, D., &amp; Abbar, S. (2021). P2PCF: A collaborative filtering based recommender system for peer to peer social networks. Journal of High Speed Networks, 27(1), 13-31.</w:t>
      </w:r>
    </w:p>
    <w:p w:rsidR="00000000" w:rsidDel="00000000" w:rsidP="00000000" w:rsidRDefault="00000000" w:rsidRPr="00000000" w14:paraId="0000001B">
      <w:pPr>
        <w:rPr>
          <w:u w:val="single"/>
        </w:rPr>
      </w:pPr>
      <w:hyperlink r:id="rId11">
        <w:r w:rsidDel="00000000" w:rsidR="00000000" w:rsidRPr="00000000">
          <w:rPr>
            <w:color w:val="1155cc"/>
            <w:u w:val="single"/>
            <w:rtl w:val="0"/>
          </w:rPr>
          <w:t xml:space="preserve"> https://journals.sagepub.com/doi/full/10.3233/JHS-210649</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223655"/>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223655"/>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223655"/>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כותרת 1 תו"/>
    <w:basedOn w:val="a0"/>
    <w:link w:val="1"/>
    <w:uiPriority w:val="9"/>
    <w:rsid w:val="00223655"/>
    <w:rPr>
      <w:rFonts w:asciiTheme="majorHAnsi" w:cstheme="majorBidi" w:eastAsiaTheme="majorEastAsia" w:hAnsiTheme="majorHAnsi"/>
      <w:color w:val="2f5496" w:themeColor="accent1" w:themeShade="0000BF"/>
      <w:sz w:val="40"/>
      <w:szCs w:val="40"/>
    </w:rPr>
  </w:style>
  <w:style w:type="character" w:styleId="20" w:customStyle="1">
    <w:name w:val="כותרת 2 תו"/>
    <w:basedOn w:val="a0"/>
    <w:link w:val="2"/>
    <w:uiPriority w:val="9"/>
    <w:semiHidden w:val="1"/>
    <w:rsid w:val="00223655"/>
    <w:rPr>
      <w:rFonts w:asciiTheme="majorHAnsi" w:cstheme="majorBidi" w:eastAsiaTheme="majorEastAsia" w:hAnsiTheme="majorHAnsi"/>
      <w:color w:val="2f5496" w:themeColor="accent1" w:themeShade="0000BF"/>
      <w:sz w:val="32"/>
      <w:szCs w:val="32"/>
    </w:rPr>
  </w:style>
  <w:style w:type="character" w:styleId="30" w:customStyle="1">
    <w:name w:val="כותרת 3 תו"/>
    <w:basedOn w:val="a0"/>
    <w:link w:val="3"/>
    <w:uiPriority w:val="9"/>
    <w:semiHidden w:val="1"/>
    <w:rsid w:val="00223655"/>
    <w:rPr>
      <w:rFonts w:cstheme="majorBidi" w:eastAsiaTheme="majorEastAsia"/>
      <w:color w:val="2f5496" w:themeColor="accent1" w:themeShade="0000BF"/>
      <w:sz w:val="28"/>
      <w:szCs w:val="28"/>
    </w:rPr>
  </w:style>
  <w:style w:type="character" w:styleId="40" w:customStyle="1">
    <w:name w:val="כותרת 4 תו"/>
    <w:basedOn w:val="a0"/>
    <w:link w:val="4"/>
    <w:uiPriority w:val="9"/>
    <w:semiHidden w:val="1"/>
    <w:rsid w:val="00223655"/>
    <w:rPr>
      <w:rFonts w:cstheme="majorBidi" w:eastAsiaTheme="majorEastAsia"/>
      <w:i w:val="1"/>
      <w:iCs w:val="1"/>
      <w:color w:val="2f5496" w:themeColor="accent1" w:themeShade="0000BF"/>
    </w:rPr>
  </w:style>
  <w:style w:type="character" w:styleId="50" w:customStyle="1">
    <w:name w:val="כותרת 5 תו"/>
    <w:basedOn w:val="a0"/>
    <w:link w:val="5"/>
    <w:uiPriority w:val="9"/>
    <w:semiHidden w:val="1"/>
    <w:rsid w:val="00223655"/>
    <w:rPr>
      <w:rFonts w:cstheme="majorBidi" w:eastAsiaTheme="majorEastAsia"/>
      <w:color w:val="2f5496" w:themeColor="accent1" w:themeShade="0000BF"/>
    </w:rPr>
  </w:style>
  <w:style w:type="character" w:styleId="60" w:customStyle="1">
    <w:name w:val="כותרת 6 תו"/>
    <w:basedOn w:val="a0"/>
    <w:link w:val="6"/>
    <w:uiPriority w:val="9"/>
    <w:semiHidden w:val="1"/>
    <w:rsid w:val="00223655"/>
    <w:rPr>
      <w:rFonts w:cstheme="majorBidi" w:eastAsiaTheme="majorEastAsia"/>
      <w:i w:val="1"/>
      <w:iCs w:val="1"/>
      <w:color w:val="595959" w:themeColor="text1" w:themeTint="0000A6"/>
    </w:rPr>
  </w:style>
  <w:style w:type="character" w:styleId="70" w:customStyle="1">
    <w:name w:val="כותרת 7 תו"/>
    <w:basedOn w:val="a0"/>
    <w:link w:val="7"/>
    <w:uiPriority w:val="9"/>
    <w:semiHidden w:val="1"/>
    <w:rsid w:val="00223655"/>
    <w:rPr>
      <w:rFonts w:cstheme="majorBidi" w:eastAsiaTheme="majorEastAsia"/>
      <w:color w:val="595959" w:themeColor="text1" w:themeTint="0000A6"/>
    </w:rPr>
  </w:style>
  <w:style w:type="character" w:styleId="80" w:customStyle="1">
    <w:name w:val="כותרת 8 תו"/>
    <w:basedOn w:val="a0"/>
    <w:link w:val="8"/>
    <w:uiPriority w:val="9"/>
    <w:semiHidden w:val="1"/>
    <w:rsid w:val="00223655"/>
    <w:rPr>
      <w:rFonts w:cstheme="majorBidi" w:eastAsiaTheme="majorEastAsia"/>
      <w:i w:val="1"/>
      <w:iCs w:val="1"/>
      <w:color w:val="272727" w:themeColor="text1" w:themeTint="0000D8"/>
    </w:rPr>
  </w:style>
  <w:style w:type="character" w:styleId="90" w:customStyle="1">
    <w:name w:val="כותרת 9 תו"/>
    <w:basedOn w:val="a0"/>
    <w:link w:val="9"/>
    <w:uiPriority w:val="9"/>
    <w:semiHidden w:val="1"/>
    <w:rsid w:val="00223655"/>
    <w:rPr>
      <w:rFonts w:cstheme="majorBidi" w:eastAsiaTheme="majorEastAsia"/>
      <w:color w:val="272727" w:themeColor="text1" w:themeTint="0000D8"/>
    </w:rPr>
  </w:style>
  <w:style w:type="character" w:styleId="a4" w:customStyle="1">
    <w:name w:val="כותרת טקסט תו"/>
    <w:basedOn w:val="a0"/>
    <w:link w:val="a3"/>
    <w:uiPriority w:val="10"/>
    <w:rsid w:val="00223655"/>
    <w:rPr>
      <w:rFonts w:asciiTheme="majorHAnsi" w:cstheme="majorBidi" w:eastAsiaTheme="majorEastAsia" w:hAnsiTheme="majorHAnsi"/>
      <w:spacing w:val="-10"/>
      <w:kern w:val="28"/>
      <w:sz w:val="56"/>
      <w:szCs w:val="56"/>
    </w:rPr>
  </w:style>
  <w:style w:type="character" w:styleId="a6" w:customStyle="1">
    <w:name w:val="כותרת משנה תו"/>
    <w:basedOn w:val="a0"/>
    <w:link w:val="a5"/>
    <w:uiPriority w:val="11"/>
    <w:rsid w:val="00223655"/>
    <w:rPr>
      <w:rFonts w:cstheme="majorBidi" w:eastAsiaTheme="majorEastAsia"/>
      <w:color w:val="595959" w:themeColor="text1" w:themeTint="0000A6"/>
      <w:spacing w:val="15"/>
      <w:sz w:val="28"/>
      <w:szCs w:val="28"/>
    </w:rPr>
  </w:style>
  <w:style w:type="paragraph" w:styleId="a7">
    <w:name w:val="Quote"/>
    <w:basedOn w:val="a"/>
    <w:next w:val="a"/>
    <w:link w:val="a8"/>
    <w:uiPriority w:val="29"/>
    <w:qFormat w:val="1"/>
    <w:rsid w:val="00223655"/>
    <w:pPr>
      <w:spacing w:before="160"/>
      <w:jc w:val="center"/>
    </w:pPr>
    <w:rPr>
      <w:i w:val="1"/>
      <w:iCs w:val="1"/>
      <w:color w:val="404040" w:themeColor="text1" w:themeTint="0000BF"/>
    </w:rPr>
  </w:style>
  <w:style w:type="character" w:styleId="a8" w:customStyle="1">
    <w:name w:val="ציטוט תו"/>
    <w:basedOn w:val="a0"/>
    <w:link w:val="a7"/>
    <w:uiPriority w:val="29"/>
    <w:rsid w:val="00223655"/>
    <w:rPr>
      <w:i w:val="1"/>
      <w:iCs w:val="1"/>
      <w:color w:val="404040" w:themeColor="text1" w:themeTint="0000BF"/>
    </w:rPr>
  </w:style>
  <w:style w:type="paragraph" w:styleId="a9">
    <w:name w:val="List Paragraph"/>
    <w:basedOn w:val="a"/>
    <w:uiPriority w:val="34"/>
    <w:qFormat w:val="1"/>
    <w:rsid w:val="00223655"/>
    <w:pPr>
      <w:ind w:left="720"/>
      <w:contextualSpacing w:val="1"/>
    </w:pPr>
  </w:style>
  <w:style w:type="character" w:styleId="aa">
    <w:name w:val="Intense Emphasis"/>
    <w:basedOn w:val="a0"/>
    <w:uiPriority w:val="21"/>
    <w:qFormat w:val="1"/>
    <w:rsid w:val="00223655"/>
    <w:rPr>
      <w:i w:val="1"/>
      <w:iCs w:val="1"/>
      <w:color w:val="2f5496" w:themeColor="accent1" w:themeShade="0000BF"/>
    </w:rPr>
  </w:style>
  <w:style w:type="paragraph" w:styleId="ab">
    <w:name w:val="Intense Quote"/>
    <w:basedOn w:val="a"/>
    <w:next w:val="a"/>
    <w:link w:val="ac"/>
    <w:uiPriority w:val="30"/>
    <w:qFormat w:val="1"/>
    <w:rsid w:val="0022365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ציטוט חזק תו"/>
    <w:basedOn w:val="a0"/>
    <w:link w:val="ab"/>
    <w:uiPriority w:val="30"/>
    <w:rsid w:val="00223655"/>
    <w:rPr>
      <w:i w:val="1"/>
      <w:iCs w:val="1"/>
      <w:color w:val="2f5496" w:themeColor="accent1" w:themeShade="0000BF"/>
    </w:rPr>
  </w:style>
  <w:style w:type="character" w:styleId="ad">
    <w:name w:val="Intense Reference"/>
    <w:basedOn w:val="a0"/>
    <w:uiPriority w:val="32"/>
    <w:qFormat w:val="1"/>
    <w:rsid w:val="00223655"/>
    <w:rPr>
      <w:b w:val="1"/>
      <w:bCs w:val="1"/>
      <w:smallCaps w:val="1"/>
      <w:color w:val="2f5496" w:themeColor="accent1" w:themeShade="0000BF"/>
      <w:spacing w:val="5"/>
    </w:rPr>
  </w:style>
  <w:style w:type="character" w:styleId="Hyperlink">
    <w:name w:val="Hyperlink"/>
    <w:basedOn w:val="a0"/>
    <w:uiPriority w:val="99"/>
    <w:unhideWhenUsed w:val="1"/>
    <w:rsid w:val="00021D51"/>
    <w:rPr>
      <w:color w:val="0563c1" w:themeColor="hyperlink"/>
      <w:u w:val="single"/>
    </w:rPr>
  </w:style>
  <w:style w:type="character" w:styleId="ae">
    <w:name w:val="Unresolved Mention"/>
    <w:basedOn w:val="a0"/>
    <w:uiPriority w:val="99"/>
    <w:semiHidden w:val="1"/>
    <w:unhideWhenUsed w:val="1"/>
    <w:rsid w:val="00021D51"/>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ournals.sagepub.com/doi/full/10.3233/JHS-210649" TargetMode="External"/><Relationship Id="rId10" Type="http://schemas.openxmlformats.org/officeDocument/2006/relationships/hyperlink" Target="https://link.springer.com/article/10.1007/s10115-024-02315-z" TargetMode="External"/><Relationship Id="rId9" Type="http://schemas.openxmlformats.org/officeDocument/2006/relationships/hyperlink" Target="https://www.fatbit.com/fab/launch-pet-care-platform-to-connect-dog-owners-and-sitter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science/article/pii/S2773032825000239" TargetMode="External"/><Relationship Id="rId8" Type="http://schemas.openxmlformats.org/officeDocument/2006/relationships/hyperlink" Target="https://pmc.ncbi.nlm.nih.gov/articles/PMC84689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lcw9RUKuZeTR5TgcHAfK/Y3FrA==">CgMxLjA4AHIhMWVlZ2RwemxSd25ucEVJRk5BZnB3cE9CNVNPT0E5RWJN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2025-11-24T14:22:00Z</dcterms:created>
  <dc:creator>Benyamin Giorno</dc:creator>
</cp:coreProperties>
</file>