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80"/>
        <w:jc w:val="left"/>
      </w:pPr>
      <w:r>
        <w:rPr>
          <w:rFonts w:ascii="Arial" w:cs="Arial" w:eastAsia="Arial" w:hAnsi="Arial"/>
          <w:b/>
          <w:bCs/>
          <w:caps/>
          <w:color w:val="1B4F8A"/>
          <w:sz w:val="22"/>
          <w:szCs w:val="22"/>
        </w:rPr>
        <w:t xml:space="preserve">TECHNOLOGY INTELLIGENCE REPORT</w:t>
      </w:r>
    </w:p>
    <w:p>
      <w:pPr>
        <w:pBdr>
          <w:left w:val="single" w:color="C9A84C" w:sz="20" w:space="10"/>
        </w:pBdr>
        <w:spacing w:before="0" w:after="80"/>
        <w:ind w:left="240"/>
      </w:pPr>
      <w:r>
        <w:rPr>
          <w:rFonts w:ascii="Arial" w:cs="Arial" w:eastAsia="Arial" w:hAnsi="Arial"/>
          <w:b/>
          <w:bCs/>
          <w:color w:val="1A1A2E"/>
          <w:sz w:val="56"/>
          <w:szCs w:val="56"/>
        </w:rPr>
        <w:t xml:space="preserve">IEEE 802.11 AI Offload Standardization</w:t>
      </w:r>
    </w:p>
    <w:p>
      <w:pPr>
        <w:spacing w:before="80" w:after="40"/>
        <w:ind w:left="240"/>
      </w:pPr>
      <w:r>
        <w:rPr>
          <w:rFonts w:ascii="Arial" w:cs="Arial" w:eastAsia="Arial" w:hAnsi="Arial"/>
          <w:i/>
          <w:iCs/>
          <w:color w:val="555555"/>
          <w:sz w:val="24"/>
          <w:szCs w:val="24"/>
        </w:rPr>
        <w:t xml:space="preserve">Compute as a Service at the Wi-Fi Edge — Strategic Assessment &amp; Recommendations</w:t>
      </w:r>
    </w:p>
    <w:p>
      <w:pPr>
        <w:spacing w:before="120" w:after="480"/>
        <w:ind w:left="240"/>
      </w:pPr>
      <w:r>
        <w:rPr>
          <w:rFonts w:ascii="Arial" w:cs="Arial" w:eastAsia="Arial" w:hAnsi="Arial"/>
          <w:color w:val="1B4F8A"/>
          <w:sz w:val="20"/>
          <w:szCs w:val="20"/>
        </w:rPr>
        <w:t xml:space="preserve">March 2026  |  WNG Standing Committee / IEEE 802 LMSC</w:t>
      </w:r>
    </w:p>
    <w:p>
      <w:pPr>
        <w:pStyle w:val="Heading1"/>
        <w:pBdr>
          <w:bottom w:val="single" w:color="1B4F8A" w:sz="8" w:space="4"/>
        </w:pBdr>
        <w:spacing w:before="360" w:after="120"/>
      </w:pPr>
      <w:r>
        <w:rPr>
          <w:rFonts w:ascii="Arial" w:cs="Arial" w:eastAsia="Arial" w:hAnsi="Arial"/>
          <w:b/>
          <w:bCs/>
          <w:color w:val="1B4F8A"/>
          <w:sz w:val="32"/>
          <w:szCs w:val="32"/>
        </w:rPr>
        <w:t xml:space="preserve">Executive Summary</w:t>
      </w:r>
    </w:p>
    <w:p>
      <w:pPr>
        <w:spacing w:before="80" w:after="80" w:line="320"/>
      </w:pPr>
      <w:r>
        <w:rPr>
          <w:rFonts w:ascii="Arial" w:cs="Arial" w:eastAsia="Arial" w:hAnsi="Arial"/>
          <w:color w:val="555555"/>
          <w:sz w:val="22"/>
          <w:szCs w:val="22"/>
        </w:rPr>
        <w:t xml:space="preserve">The Wireless Next Generation (WNG) Standing Committee continued its review of submissions regarding the vision of Wi-Fi 9 (IEEE 802.11) at its March 2026 session. In a landmark decision, the IEEE 802 Local and Metropolitan Area Standards Committee (LMSC) approved the formation of an AI Offload Study Group (SG). This Study Group is mandated to develop a Project Authorization Request (PAR) for a new amendment to the IEEE 802.11 standard, with the specific goal of enabling the offloading of compute-intensive AI inference tasks to edge AI Wi-Fi Access Points and other Wi-Fi-enabled edge computing devices.</w:t>
      </w:r>
    </w:p>
    <w:p>
      <w:pPr>
        <w:spacing w:before="60" w:after="60"/>
      </w:pPr>
      <w:r>
        <w:t xml:space="preserve"/>
      </w:r>
    </w:p>
    <w:p>
      <w:pPr>
        <w:spacing w:before="80" w:after="80" w:line="320"/>
      </w:pPr>
      <w:r>
        <w:rPr>
          <w:rFonts w:ascii="Arial" w:cs="Arial" w:eastAsia="Arial" w:hAnsi="Arial"/>
          <w:color w:val="555555"/>
          <w:sz w:val="22"/>
          <w:szCs w:val="22"/>
        </w:rPr>
        <w:t xml:space="preserve">This report analyzes the strategic significance of this initiative across five dimensions: industry challenges, the gap between current technologies and market needs, emerging technological leads and their differentiators, business impact and application scenarios, and recommendations for implementing these technological leads in innovation projects.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left w:val="none"/>
              <w:bottom w:val="none"/>
              <w:right w:val="none"/>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KEY CONCEPT</w:t>
            </w:r>
          </w:p>
        </w:tc>
        <w:tc>
          <w:tcPr>
            <w:tcW w:type="dxa" w:w="8160"/>
            <w:tcBorders>
              <w:top w:val="none"/>
              <w:left w:val="none"/>
              <w:bottom w:val="none"/>
              <w:right w:val="none"/>
            </w:tcBorders>
            <w:shd w:fill="E8EEF6" w:val="clear"/>
            <w:tcMar>
              <w:top w:type="dxa" w:w="120"/>
              <w:left w:type="dxa" w:w="200"/>
              <w:bottom w:type="dxa" w:w="120"/>
              <w:right w:type="dxa" w:w="200"/>
            </w:tcMar>
          </w:tcPr>
          <w:p>
            <w:r>
              <w:rPr>
                <w:rFonts w:ascii="Arial" w:cs="Arial" w:eastAsia="Arial" w:hAnsi="Arial"/>
                <w:i/>
                <w:iCs/>
                <w:color w:val="1A1A2E"/>
                <w:sz w:val="20"/>
                <w:szCs w:val="20"/>
              </w:rPr>
              <w:t xml:space="preserve">The proposed standard introduces 'Compute as a Service' (CaaS) — a framework enabling AI inference to be offloaded from resource-constrained client devices to Wi-Fi edge compute platforms, creating a distributed AI execution model that is privacy-aware, low-latency, and interoperable.</w:t>
            </w:r>
          </w:p>
        </w:tc>
      </w:tr>
    </w:tbl>
    <w:p>
      <w:pPr>
        <w:spacing w:before="60" w:after="60"/>
      </w:pPr>
      <w:r>
        <w:t xml:space="preserve"/>
      </w:r>
    </w:p>
    <w:p>
      <w:pPr>
        <w:pStyle w:val="Heading1"/>
        <w:pBdr>
          <w:bottom w:val="single" w:color="1B4F8A" w:sz="8" w:space="4"/>
        </w:pBdr>
        <w:spacing w:before="360" w:after="120"/>
      </w:pPr>
      <w:r>
        <w:rPr>
          <w:rFonts w:ascii="Arial" w:cs="Arial" w:eastAsia="Arial" w:hAnsi="Arial"/>
          <w:b/>
          <w:bCs/>
          <w:color w:val="1B4F8A"/>
          <w:sz w:val="32"/>
          <w:szCs w:val="32"/>
        </w:rPr>
        <w:t xml:space="preserve">1. Industry Challenges</w:t>
      </w:r>
    </w:p>
    <w:p>
      <w:pPr>
        <w:spacing w:before="80" w:after="80" w:line="320"/>
      </w:pPr>
      <w:r>
        <w:rPr>
          <w:rFonts w:ascii="Arial" w:cs="Arial" w:eastAsia="Arial" w:hAnsi="Arial"/>
          <w:color w:val="555555"/>
          <w:sz w:val="22"/>
          <w:szCs w:val="22"/>
        </w:rPr>
        <w:t xml:space="preserve">The AI ecosystem is undergoing a fundamental architectural shift, moving beyond centralized cloud inference toward distributed, edge-native AI execution. This transition surfaces a set of critical challenges that the industry must address:</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1.1 Compute Asymmetry Across Device Classes</w:t>
      </w:r>
    </w:p>
    <w:p>
      <w:pPr>
        <w:spacing w:before="80" w:after="80" w:line="320"/>
      </w:pPr>
      <w:r>
        <w:rPr>
          <w:rFonts w:ascii="Arial" w:cs="Arial" w:eastAsia="Arial" w:hAnsi="Arial"/>
          <w:color w:val="555555"/>
          <w:sz w:val="22"/>
          <w:szCs w:val="22"/>
        </w:rPr>
        <w:t xml:space="preserve">AI inference workloads — particularly large language models, vision transformers, and agentic AI pipelines — impose significant compute, memory, and power demands. The majority of deployed Wi-Fi client devices (cameras, sensors, home robots, IoT endpoints, and entry-level consumer electronics) lack the processing capacity to run these models locally. This creates a structural compute asymmetry that limits AI deployment at the edge.</w:t>
      </w:r>
    </w:p>
    <w:p>
      <w:pPr>
        <w:pStyle w:val="Heading2"/>
        <w:spacing w:before="280" w:after="80"/>
      </w:pPr>
      <w:r>
        <w:rPr>
          <w:rFonts w:ascii="Arial" w:cs="Arial" w:eastAsia="Arial" w:hAnsi="Arial"/>
          <w:b/>
          <w:bCs/>
          <w:color w:val="1A1A2E"/>
          <w:sz w:val="26"/>
          <w:szCs w:val="26"/>
        </w:rPr>
        <w:t xml:space="preserve">1.2 Latency and Reliability Constraints of Cloud AI</w:t>
      </w:r>
    </w:p>
    <w:p>
      <w:pPr>
        <w:spacing w:before="80" w:after="80" w:line="320"/>
      </w:pPr>
      <w:r>
        <w:rPr>
          <w:rFonts w:ascii="Arial" w:cs="Arial" w:eastAsia="Arial" w:hAnsi="Arial"/>
          <w:color w:val="555555"/>
          <w:sz w:val="22"/>
          <w:szCs w:val="22"/>
        </w:rPr>
        <w:t xml:space="preserve">Cloud-based AI inference, while compute-rich, introduces round-trip latencies of 50–300ms depending on network conditions, which is prohibitive for time-sensitive applications such as real-time video analytics, autonomous robotics, and voice interaction. Moreover, cloud connectivity cannot be assumed in enterprise environments, industrial facilities, or bandwidth-limited deployments.</w:t>
      </w:r>
    </w:p>
    <w:p>
      <w:pPr>
        <w:pStyle w:val="Heading2"/>
        <w:spacing w:before="280" w:after="80"/>
      </w:pPr>
      <w:r>
        <w:rPr>
          <w:rFonts w:ascii="Arial" w:cs="Arial" w:eastAsia="Arial" w:hAnsi="Arial"/>
          <w:b/>
          <w:bCs/>
          <w:color w:val="1A1A2E"/>
          <w:sz w:val="26"/>
          <w:szCs w:val="26"/>
        </w:rPr>
        <w:t xml:space="preserve">1.3 Privacy and Data Sovereignty</w:t>
      </w:r>
    </w:p>
    <w:p>
      <w:pPr>
        <w:spacing w:before="80" w:after="80" w:line="320"/>
      </w:pPr>
      <w:r>
        <w:rPr>
          <w:rFonts w:ascii="Arial" w:cs="Arial" w:eastAsia="Arial" w:hAnsi="Arial"/>
          <w:color w:val="555555"/>
          <w:sz w:val="22"/>
          <w:szCs w:val="22"/>
        </w:rPr>
        <w:t xml:space="preserve">Transmitting raw sensor data — video streams, audio, biometric inputs — to cloud infrastructure raises significant privacy concerns and increasingly conflicts with data residency regulations (GDPR, CCPA, sector-specific frameworks). Local inference at the network edge is emerging as the architectural preference for privacy-preserving AI, but lacks a standardized delivery mechanism.</w:t>
      </w:r>
    </w:p>
    <w:p>
      <w:pPr>
        <w:pStyle w:val="Heading2"/>
        <w:spacing w:before="280" w:after="80"/>
      </w:pPr>
      <w:r>
        <w:rPr>
          <w:rFonts w:ascii="Arial" w:cs="Arial" w:eastAsia="Arial" w:hAnsi="Arial"/>
          <w:b/>
          <w:bCs/>
          <w:color w:val="1A1A2E"/>
          <w:sz w:val="26"/>
          <w:szCs w:val="26"/>
        </w:rPr>
        <w:t xml:space="preserve">1.4 Fragmentation of Edge AI Ecosystems</w:t>
      </w:r>
    </w:p>
    <w:p>
      <w:pPr>
        <w:spacing w:before="80" w:after="80" w:line="320"/>
      </w:pPr>
      <w:r>
        <w:rPr>
          <w:rFonts w:ascii="Arial" w:cs="Arial" w:eastAsia="Arial" w:hAnsi="Arial"/>
          <w:color w:val="555555"/>
          <w:sz w:val="22"/>
          <w:szCs w:val="22"/>
        </w:rPr>
        <w:t xml:space="preserve">Multiple IC vendors (Qualcomm, MediaTek, and others) have introduced Wi-Fi Access Points with embedded AI compute capabilities, and several software ecosystems have emerged around them. However, the absence of a common interoperability standard means client devices must implement proprietary, vendor-specific protocols for AI offload — undermining scale, increasing integration costs, and creating lock-in.</w:t>
      </w:r>
    </w:p>
    <w:p>
      <w:pPr>
        <w:pStyle w:val="Heading2"/>
        <w:spacing w:before="280" w:after="80"/>
      </w:pPr>
      <w:r>
        <w:rPr>
          <w:rFonts w:ascii="Arial" w:cs="Arial" w:eastAsia="Arial" w:hAnsi="Arial"/>
          <w:b/>
          <w:bCs/>
          <w:color w:val="1A1A2E"/>
          <w:sz w:val="26"/>
          <w:szCs w:val="26"/>
        </w:rPr>
        <w:t xml:space="preserve">1.5 Model Management and Trust</w:t>
      </w:r>
    </w:p>
    <w:p>
      <w:pPr>
        <w:spacing w:before="80" w:after="80" w:line="320"/>
      </w:pPr>
      <w:r>
        <w:rPr>
          <w:rFonts w:ascii="Arial" w:cs="Arial" w:eastAsia="Arial" w:hAnsi="Arial"/>
          <w:color w:val="555555"/>
          <w:sz w:val="22"/>
          <w:szCs w:val="22"/>
        </w:rPr>
        <w:t xml:space="preserve">Deploying AI models at the edge introduces challenges around model versioning, certification, security, and lifecycle management. Without standardized mechanisms for model discovery, authorization, and download, edge AI deployments risk security vulnerabilities and operational inconsistencies across heterogeneous device fleets.</w:t>
      </w:r>
    </w:p>
    <w:p>
      <w:pPr>
        <w:spacing w:before="60" w:after="60"/>
      </w:pPr>
      <w:r>
        <w:t xml:space="preserve"/>
      </w:r>
    </w:p>
    <w:p>
      <w:pPr>
        <w:pStyle w:val="Heading1"/>
        <w:pBdr>
          <w:bottom w:val="single" w:color="1B4F8A" w:sz="8" w:space="4"/>
        </w:pBdr>
        <w:spacing w:before="360" w:after="120"/>
      </w:pPr>
      <w:r>
        <w:rPr>
          <w:rFonts w:ascii="Arial" w:cs="Arial" w:eastAsia="Arial" w:hAnsi="Arial"/>
          <w:b/>
          <w:bCs/>
          <w:color w:val="1B4F8A"/>
          <w:sz w:val="32"/>
          <w:szCs w:val="32"/>
        </w:rPr>
        <w:t xml:space="preserve">2. Gap Between Existing Technologies and Industry Needs</w:t>
      </w:r>
    </w:p>
    <w:p>
      <w:pPr>
        <w:spacing w:before="80" w:after="80" w:line="320"/>
      </w:pPr>
      <w:r>
        <w:rPr>
          <w:rFonts w:ascii="Arial" w:cs="Arial" w:eastAsia="Arial" w:hAnsi="Arial"/>
          <w:color w:val="555555"/>
          <w:sz w:val="22"/>
          <w:szCs w:val="22"/>
        </w:rPr>
        <w:t xml:space="preserve">While significant progress has been made in both Wi-Fi networking standards and AI/ML frameworks, a meaningful gap persists between what current technologies offer and what the market requires for scalable edge AI deployment:</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2.1 IEEE 802.11 Was Not Designed for AI Workload Delivery</w:t>
      </w:r>
    </w:p>
    <w:p>
      <w:pPr>
        <w:spacing w:before="80" w:after="80" w:line="320"/>
      </w:pPr>
      <w:r>
        <w:rPr>
          <w:rFonts w:ascii="Arial" w:cs="Arial" w:eastAsia="Arial" w:hAnsi="Arial"/>
          <w:color w:val="555555"/>
          <w:sz w:val="22"/>
          <w:szCs w:val="22"/>
        </w:rPr>
        <w:t xml:space="preserve">The existing IEEE 802.11 protocol stack — including its discovery, association, security, and data transport procedures — was designed for general-purpose data networking. It provides no native mechanisms for advertising AI compute capabilities, managing inference sessions, or routing AI input/output vectors between client devices and compute nodes. Extending these capabilities requires explicit standardization.</w:t>
      </w:r>
    </w:p>
    <w:p>
      <w:pPr>
        <w:pStyle w:val="Heading2"/>
        <w:spacing w:before="280" w:after="80"/>
      </w:pPr>
      <w:r>
        <w:rPr>
          <w:rFonts w:ascii="Arial" w:cs="Arial" w:eastAsia="Arial" w:hAnsi="Arial"/>
          <w:b/>
          <w:bCs/>
          <w:color w:val="1A1A2E"/>
          <w:sz w:val="26"/>
          <w:szCs w:val="26"/>
        </w:rPr>
        <w:t xml:space="preserve">2.2 Existing AI Frameworks Lack Network-Layer Integration</w:t>
      </w:r>
    </w:p>
    <w:p>
      <w:pPr>
        <w:spacing w:before="80" w:after="80" w:line="320"/>
      </w:pPr>
      <w:r>
        <w:rPr>
          <w:rFonts w:ascii="Arial" w:cs="Arial" w:eastAsia="Arial" w:hAnsi="Arial"/>
          <w:color w:val="555555"/>
          <w:sz w:val="22"/>
          <w:szCs w:val="22"/>
        </w:rPr>
        <w:t xml:space="preserve">Popular AI inference runtimes such as ONNX Runtime, TensorFlow Lite, and vendor-specific NPU SDKs are application-layer frameworks. They do not integrate with wireless networking layers and provide no standardized method for discovering edge compute resources, negotiating sessions, or managing model delivery over wireless links.</w:t>
      </w:r>
    </w:p>
    <w:p>
      <w:pPr>
        <w:pStyle w:val="Heading2"/>
        <w:spacing w:before="280" w:after="80"/>
      </w:pPr>
      <w:r>
        <w:rPr>
          <w:rFonts w:ascii="Arial" w:cs="Arial" w:eastAsia="Arial" w:hAnsi="Arial"/>
          <w:b/>
          <w:bCs/>
          <w:color w:val="1A1A2E"/>
          <w:sz w:val="26"/>
          <w:szCs w:val="26"/>
        </w:rPr>
        <w:t xml:space="preserve">2.3 No Common Protocol for Agentic AI at the Edge</w:t>
      </w:r>
    </w:p>
    <w:p>
      <w:pPr>
        <w:spacing w:before="80" w:after="80" w:line="320"/>
      </w:pPr>
      <w:r>
        <w:rPr>
          <w:rFonts w:ascii="Arial" w:cs="Arial" w:eastAsia="Arial" w:hAnsi="Arial"/>
          <w:color w:val="555555"/>
          <w:sz w:val="22"/>
          <w:szCs w:val="22"/>
        </w:rPr>
        <w:t xml:space="preserve">Emerging agentic AI architectures — including Agent-to-Agent (A2A) protocols and Model Context Protocol (MCP) — require a discovery and session establishment layer to enable AI agents hosted on different devices to find and communicate with each other. No existing Wi-Fi standard supports this class of interaction, leaving agentic AI deployments reliant on ad-hoc, application-level workarounds.</w:t>
      </w:r>
    </w:p>
    <w:p>
      <w:pPr>
        <w:pStyle w:val="Heading2"/>
        <w:spacing w:before="280" w:after="80"/>
      </w:pPr>
      <w:r>
        <w:rPr>
          <w:rFonts w:ascii="Arial" w:cs="Arial" w:eastAsia="Arial" w:hAnsi="Arial"/>
          <w:b/>
          <w:bCs/>
          <w:color w:val="1A1A2E"/>
          <w:sz w:val="26"/>
          <w:szCs w:val="26"/>
        </w:rPr>
        <w:t xml:space="preserve">2.4 Absence of Model Certification and Trust Infrastructure</w:t>
      </w:r>
    </w:p>
    <w:p>
      <w:pPr>
        <w:spacing w:before="80" w:after="80" w:line="320"/>
      </w:pPr>
      <w:r>
        <w:rPr>
          <w:rFonts w:ascii="Arial" w:cs="Arial" w:eastAsia="Arial" w:hAnsi="Arial"/>
          <w:color w:val="555555"/>
          <w:sz w:val="22"/>
          <w:szCs w:val="22"/>
        </w:rPr>
        <w:t xml:space="preserve">There is currently no industry-wide framework for certifying AI models for edge deployment, specifying qualification requirements (quantization standards, maximum model size, fixed-point granularity), or establishing a neutral model repository that client devices can reference. This absence creates security and quality risks in open deployments.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left w:val="none"/>
              <w:bottom w:val="none"/>
              <w:right w:val="none"/>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GAP SUMMARY</w:t>
            </w:r>
          </w:p>
        </w:tc>
        <w:tc>
          <w:tcPr>
            <w:tcW w:type="dxa" w:w="8160"/>
            <w:tcBorders>
              <w:top w:val="none"/>
              <w:left w:val="none"/>
              <w:bottom w:val="none"/>
              <w:right w:val="none"/>
            </w:tcBorders>
            <w:shd w:fill="E8EEF6" w:val="clear"/>
            <w:tcMar>
              <w:top w:type="dxa" w:w="120"/>
              <w:left w:type="dxa" w:w="200"/>
              <w:bottom w:type="dxa" w:w="120"/>
              <w:right w:type="dxa" w:w="200"/>
            </w:tcMar>
          </w:tcPr>
          <w:p>
            <w:r>
              <w:rPr>
                <w:rFonts w:ascii="Arial" w:cs="Arial" w:eastAsia="Arial" w:hAnsi="Arial"/>
                <w:i/>
                <w:iCs/>
                <w:color w:val="1A1A2E"/>
                <w:sz w:val="20"/>
                <w:szCs w:val="20"/>
              </w:rPr>
              <w:t xml:space="preserve">The convergence of ubiquitous Wi-Fi infrastructure, AI-capable edge compute platforms, and resource-constrained client devices has created a deployment-ready market with no interoperable protocol to connect the pieces. IEEE 802.11 AI Offload standardization addresses this gap directly.</w:t>
            </w:r>
          </w:p>
        </w:tc>
      </w:tr>
    </w:tbl>
    <w:p>
      <w:pPr>
        <w:spacing w:before="60" w:after="60"/>
      </w:pPr>
      <w:r>
        <w:t xml:space="preserve"/>
      </w:r>
    </w:p>
    <w:p>
      <w:pPr>
        <w:pStyle w:val="Heading1"/>
        <w:pBdr>
          <w:bottom w:val="single" w:color="1B4F8A" w:sz="8" w:space="4"/>
        </w:pBdr>
        <w:spacing w:before="360" w:after="120"/>
      </w:pPr>
      <w:r>
        <w:rPr>
          <w:rFonts w:ascii="Arial" w:cs="Arial" w:eastAsia="Arial" w:hAnsi="Arial"/>
          <w:b/>
          <w:bCs/>
          <w:color w:val="1B4F8A"/>
          <w:sz w:val="32"/>
          <w:szCs w:val="32"/>
        </w:rPr>
        <w:t xml:space="preserve">3. New Technological Leads and Improvements Over Existing Technologies</w:t>
      </w:r>
    </w:p>
    <w:p>
      <w:pPr>
        <w:spacing w:before="80" w:after="80" w:line="320"/>
      </w:pPr>
      <w:r>
        <w:rPr>
          <w:rFonts w:ascii="Arial" w:cs="Arial" w:eastAsia="Arial" w:hAnsi="Arial"/>
          <w:color w:val="555555"/>
          <w:sz w:val="22"/>
          <w:szCs w:val="22"/>
        </w:rPr>
        <w:t xml:space="preserve">The proposed IEEE 802.11 AI Offload amendment introduces a structured framework — branded as 'Compute as a Service' (CaaS) — that represents a substantive advance over current approaches across four standardized functional layers:</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3.1 CaaS Discovery: Native AI Capability Advertisement</w:t>
      </w:r>
    </w:p>
    <w:p>
      <w:pPr>
        <w:spacing w:before="80" w:after="80" w:line="320"/>
      </w:pPr>
      <w:r>
        <w:rPr>
          <w:rFonts w:ascii="Arial" w:cs="Arial" w:eastAsia="Arial" w:hAnsi="Arial"/>
          <w:color w:val="555555"/>
          <w:sz w:val="22"/>
          <w:szCs w:val="22"/>
        </w:rPr>
        <w:t xml:space="preserve">The amendment extends IEEE 802.11 beacon and probe frame formats to carry CaaS capability descriptors. This enables:</w:t>
      </w:r>
    </w:p>
    <w:p>
      <w:pPr>
        <w:pStyle w:val="ListParagraph"/>
        <w:numPr>
          <w:ilvl w:val="0"/>
          <w:numId w:val="2"/>
        </w:numPr>
        <w:spacing w:before="40" w:after="40" w:line="300"/>
      </w:pPr>
      <w:r>
        <w:rPr>
          <w:rFonts w:ascii="Arial" w:cs="Arial" w:eastAsia="Arial" w:hAnsi="Arial"/>
          <w:color w:val="555555"/>
          <w:sz w:val="22"/>
          <w:szCs w:val="22"/>
        </w:rPr>
        <w:t xml:space="preserve">Advertisement of supported AI types (general-purpose, agentic, special-purpose, ONNX) directly in beacon frames</w:t>
      </w:r>
    </w:p>
    <w:p>
      <w:pPr>
        <w:pStyle w:val="ListParagraph"/>
        <w:numPr>
          <w:ilvl w:val="0"/>
          <w:numId w:val="2"/>
        </w:numPr>
        <w:spacing w:before="40" w:after="40" w:line="300"/>
      </w:pPr>
      <w:r>
        <w:rPr>
          <w:rFonts w:ascii="Arial" w:cs="Arial" w:eastAsia="Arial" w:hAnsi="Arial"/>
          <w:color w:val="555555"/>
          <w:sz w:val="22"/>
          <w:szCs w:val="22"/>
        </w:rPr>
        <w:t xml:space="preserve">Declaration of input/output modalities (text, voice, image, video) supported by the edge compute node</w:t>
      </w:r>
    </w:p>
    <w:p>
      <w:pPr>
        <w:pStyle w:val="ListParagraph"/>
        <w:numPr>
          <w:ilvl w:val="0"/>
          <w:numId w:val="2"/>
        </w:numPr>
        <w:spacing w:before="40" w:after="40" w:line="300"/>
      </w:pPr>
      <w:r>
        <w:rPr>
          <w:rFonts w:ascii="Arial" w:cs="Arial" w:eastAsia="Arial" w:hAnsi="Arial"/>
          <w:color w:val="555555"/>
          <w:sz w:val="22"/>
          <w:szCs w:val="22"/>
        </w:rPr>
        <w:t xml:space="preserve">Performance parameter signaling (model size, token rate, load time) to enable intelligent client-side compute resource selection</w:t>
      </w:r>
    </w:p>
    <w:p>
      <w:pPr>
        <w:pStyle w:val="ListParagraph"/>
        <w:numPr>
          <w:ilvl w:val="0"/>
          <w:numId w:val="2"/>
        </w:numPr>
        <w:spacing w:before="40" w:after="40" w:line="300"/>
      </w:pPr>
      <w:r>
        <w:rPr>
          <w:rFonts w:ascii="Arial" w:cs="Arial" w:eastAsia="Arial" w:hAnsi="Arial"/>
          <w:color w:val="555555"/>
          <w:sz w:val="22"/>
          <w:szCs w:val="22"/>
        </w:rPr>
        <w:t xml:space="preserve">Pre-association and post-association discovery, allowing devices to identify suitable compute nodes before joining a network</w:t>
      </w:r>
    </w:p>
    <w:p>
      <w:pPr>
        <w:spacing w:before="60" w:after="60"/>
      </w:pPr>
      <w:r>
        <w:t xml:space="preserve"/>
      </w:r>
    </w:p>
    <w:p>
      <w:pPr>
        <w:spacing w:before="80" w:after="80" w:line="320"/>
      </w:pPr>
      <w:r>
        <w:rPr>
          <w:rFonts w:ascii="Arial" w:cs="Arial" w:eastAsia="Arial" w:hAnsi="Arial"/>
          <w:color w:val="555555"/>
          <w:sz w:val="22"/>
          <w:szCs w:val="22"/>
        </w:rPr>
        <w:t xml:space="preserve">This represents a fundamental improvement over current approaches, which require application-layer service discovery (mDNS, cloud registration) and provide no performance or capability metadata at the network layer.</w:t>
      </w:r>
    </w:p>
    <w:p>
      <w:pPr>
        <w:pStyle w:val="Heading2"/>
        <w:spacing w:before="280" w:after="80"/>
      </w:pPr>
      <w:r>
        <w:rPr>
          <w:rFonts w:ascii="Arial" w:cs="Arial" w:eastAsia="Arial" w:hAnsi="Arial"/>
          <w:b/>
          <w:bCs/>
          <w:color w:val="1A1A2E"/>
          <w:sz w:val="26"/>
          <w:szCs w:val="26"/>
        </w:rPr>
        <w:t xml:space="preserve">3.2 CaaS Session Management: Secure AI Offload Authorization</w:t>
      </w:r>
    </w:p>
    <w:p>
      <w:pPr>
        <w:spacing w:before="80" w:after="80" w:line="320"/>
      </w:pPr>
      <w:r>
        <w:rPr>
          <w:rFonts w:ascii="Arial" w:cs="Arial" w:eastAsia="Arial" w:hAnsi="Arial"/>
          <w:color w:val="555555"/>
          <w:sz w:val="22"/>
          <w:szCs w:val="22"/>
        </w:rPr>
        <w:t xml:space="preserve">The standard introduces a structured session lifecycle for AI offload, encompassing:</w:t>
      </w:r>
    </w:p>
    <w:p>
      <w:pPr>
        <w:pStyle w:val="ListParagraph"/>
        <w:numPr>
          <w:ilvl w:val="0"/>
          <w:numId w:val="2"/>
        </w:numPr>
        <w:spacing w:before="40" w:after="40" w:line="300"/>
      </w:pPr>
      <w:r>
        <w:rPr>
          <w:rFonts w:ascii="Arial" w:cs="Arial" w:eastAsia="Arial" w:hAnsi="Arial"/>
          <w:color w:val="555555"/>
          <w:sz w:val="22"/>
          <w:szCs w:val="22"/>
        </w:rPr>
        <w:t xml:space="preserve">Session Setup Request: client initiates CaaS session, selects model, configures compute parameters, and optionally provides a URL for model download</w:t>
      </w:r>
    </w:p>
    <w:p>
      <w:pPr>
        <w:pStyle w:val="ListParagraph"/>
        <w:numPr>
          <w:ilvl w:val="0"/>
          <w:numId w:val="2"/>
        </w:numPr>
        <w:spacing w:before="40" w:after="40" w:line="300"/>
      </w:pPr>
      <w:r>
        <w:rPr>
          <w:rFonts w:ascii="Arial" w:cs="Arial" w:eastAsia="Arial" w:hAnsi="Arial"/>
          <w:color w:val="555555"/>
          <w:sz w:val="22"/>
          <w:szCs w:val="22"/>
        </w:rPr>
        <w:t xml:space="preserve">Session Setup Response: AP confirms session with IP endpoint, protocol, port, security credentials, and session lifetime</w:t>
      </w:r>
    </w:p>
    <w:p>
      <w:pPr>
        <w:pStyle w:val="ListParagraph"/>
        <w:numPr>
          <w:ilvl w:val="0"/>
          <w:numId w:val="2"/>
        </w:numPr>
        <w:spacing w:before="40" w:after="40" w:line="300"/>
      </w:pPr>
      <w:r>
        <w:rPr>
          <w:rFonts w:ascii="Arial" w:cs="Arial" w:eastAsia="Arial" w:hAnsi="Arial"/>
          <w:color w:val="555555"/>
          <w:sz w:val="22"/>
          <w:szCs w:val="22"/>
        </w:rPr>
        <w:t xml:space="preserve">Session Teardown: explicit or implicit (timer-based) termination of compute sessions</w:t>
      </w:r>
    </w:p>
    <w:p>
      <w:pPr>
        <w:spacing w:before="60" w:after="60"/>
      </w:pPr>
      <w:r>
        <w:t xml:space="preserve"/>
      </w:r>
    </w:p>
    <w:p>
      <w:pPr>
        <w:spacing w:before="80" w:after="80" w:line="320"/>
      </w:pPr>
      <w:r>
        <w:rPr>
          <w:rFonts w:ascii="Arial" w:cs="Arial" w:eastAsia="Arial" w:hAnsi="Arial"/>
          <w:color w:val="555555"/>
          <w:sz w:val="22"/>
          <w:szCs w:val="22"/>
        </w:rPr>
        <w:t xml:space="preserve">The integration of security credentials and model authorization into the 802.11 security framework extends the proven WPA3 trust model to cover AI inference sessions — a critical improvement over application-layer-only security approaches.</w:t>
      </w:r>
    </w:p>
    <w:p>
      <w:pPr>
        <w:pStyle w:val="Heading2"/>
        <w:spacing w:before="280" w:after="80"/>
      </w:pPr>
      <w:r>
        <w:rPr>
          <w:rFonts w:ascii="Arial" w:cs="Arial" w:eastAsia="Arial" w:hAnsi="Arial"/>
          <w:b/>
          <w:bCs/>
          <w:color w:val="1A1A2E"/>
          <w:sz w:val="26"/>
          <w:szCs w:val="26"/>
        </w:rPr>
        <w:t xml:space="preserve">3.3 Inference Vector Transport: Standardized AI Data Exchange</w:t>
      </w:r>
    </w:p>
    <w:p>
      <w:pPr>
        <w:spacing w:before="80" w:after="80" w:line="320"/>
      </w:pPr>
      <w:r>
        <w:rPr>
          <w:rFonts w:ascii="Arial" w:cs="Arial" w:eastAsia="Arial" w:hAnsi="Arial"/>
          <w:color w:val="555555"/>
          <w:sz w:val="22"/>
          <w:szCs w:val="22"/>
        </w:rPr>
        <w:t xml:space="preserve">The amendment specifies the format for carrying AI inference input and output vectors between client and edge compute node, with support for industry-standard serialization formats including Protocol Buffers (protobuf) and ONNX. This standardization enables:</w:t>
      </w:r>
    </w:p>
    <w:p>
      <w:pPr>
        <w:pStyle w:val="ListParagraph"/>
        <w:numPr>
          <w:ilvl w:val="0"/>
          <w:numId w:val="2"/>
        </w:numPr>
        <w:spacing w:before="40" w:after="40" w:line="300"/>
      </w:pPr>
      <w:r>
        <w:rPr>
          <w:rFonts w:ascii="Arial" w:cs="Arial" w:eastAsia="Arial" w:hAnsi="Arial"/>
          <w:color w:val="555555"/>
          <w:sz w:val="22"/>
          <w:szCs w:val="22"/>
        </w:rPr>
        <w:t xml:space="preserve">Vendor-neutral model execution across heterogeneous compute platforms</w:t>
      </w:r>
    </w:p>
    <w:p>
      <w:pPr>
        <w:pStyle w:val="ListParagraph"/>
        <w:numPr>
          <w:ilvl w:val="0"/>
          <w:numId w:val="2"/>
        </w:numPr>
        <w:spacing w:before="40" w:after="40" w:line="300"/>
      </w:pPr>
      <w:r>
        <w:rPr>
          <w:rFonts w:ascii="Arial" w:cs="Arial" w:eastAsia="Arial" w:hAnsi="Arial"/>
          <w:color w:val="555555"/>
          <w:sz w:val="22"/>
          <w:szCs w:val="22"/>
        </w:rPr>
        <w:t xml:space="preserve">Support for all major inference modalities (text, image, voice, video) within a unified transport framework</w:t>
      </w:r>
    </w:p>
    <w:p>
      <w:pPr>
        <w:pStyle w:val="ListParagraph"/>
        <w:numPr>
          <w:ilvl w:val="0"/>
          <w:numId w:val="2"/>
        </w:numPr>
        <w:spacing w:before="40" w:after="40" w:line="300"/>
      </w:pPr>
      <w:r>
        <w:rPr>
          <w:rFonts w:ascii="Arial" w:cs="Arial" w:eastAsia="Arial" w:hAnsi="Arial"/>
          <w:color w:val="555555"/>
          <w:sz w:val="22"/>
          <w:szCs w:val="22"/>
        </w:rPr>
        <w:t xml:space="preserve">Compatibility with existing AI model ecosystems without requiring proprietary adaptations</w:t>
      </w:r>
    </w:p>
    <w:p>
      <w:pPr>
        <w:pStyle w:val="Heading2"/>
        <w:spacing w:before="280" w:after="80"/>
      </w:pPr>
      <w:r>
        <w:rPr>
          <w:rFonts w:ascii="Arial" w:cs="Arial" w:eastAsia="Arial" w:hAnsi="Arial"/>
          <w:b/>
          <w:bCs/>
          <w:color w:val="1A1A2E"/>
          <w:sz w:val="26"/>
          <w:szCs w:val="26"/>
        </w:rPr>
        <w:t xml:space="preserve">3.4 Model Certification Framework</w:t>
      </w:r>
    </w:p>
    <w:p>
      <w:pPr>
        <w:spacing w:before="80" w:after="80" w:line="320"/>
      </w:pPr>
      <w:r>
        <w:rPr>
          <w:rFonts w:ascii="Arial" w:cs="Arial" w:eastAsia="Arial" w:hAnsi="Arial"/>
          <w:color w:val="555555"/>
          <w:sz w:val="22"/>
          <w:szCs w:val="22"/>
        </w:rPr>
        <w:t xml:space="preserve">The proposed standard includes provisions for defining model certification requirements — specifying quantization standards, fixed-point granularity, and maximum model size constraints — to ensure that models downloaded to edge compute nodes meet consistent quality, security, and performance benchmarks. This addresses a critical gap in current edge AI deployments where model quality is entirely dependent on the publishing party.</w:t>
      </w:r>
    </w:p>
    <w:p>
      <w:pPr>
        <w:pStyle w:val="Heading2"/>
        <w:spacing w:before="280" w:after="80"/>
      </w:pPr>
      <w:r>
        <w:rPr>
          <w:rFonts w:ascii="Arial" w:cs="Arial" w:eastAsia="Arial" w:hAnsi="Arial"/>
          <w:b/>
          <w:bCs/>
          <w:color w:val="1A1A2E"/>
          <w:sz w:val="26"/>
          <w:szCs w:val="26"/>
        </w:rPr>
        <w:t xml:space="preserve">3.5 Agent-to-Agent (A2A) Discovery</w:t>
      </w:r>
    </w:p>
    <w:p>
      <w:pPr>
        <w:spacing w:before="80" w:after="80" w:line="320"/>
      </w:pPr>
      <w:r>
        <w:rPr>
          <w:rFonts w:ascii="Arial" w:cs="Arial" w:eastAsia="Arial" w:hAnsi="Arial"/>
          <w:color w:val="555555"/>
          <w:sz w:val="22"/>
          <w:szCs w:val="22"/>
        </w:rPr>
        <w:t xml:space="preserve">A significant forward-looking capability is the extension of 802.11 discovery procedures to support A2A and MCP-based agentic AI interaction. This enables AI agents hosted on edge compute nodes to be discoverable by client-resident agents, enabling distributed agentic AI workflows that traverse the wireless network boundary — a capability with no precedent in existing standards.</w:t>
      </w:r>
    </w:p>
    <w:p>
      <w:pPr>
        <w:spacing w:before="60" w:after="60"/>
      </w:pPr>
      <w:r>
        <w:t xml:space="preserve"/>
      </w:r>
    </w:p>
    <w:p>
      <w:pPr>
        <w:pStyle w:val="Heading1"/>
        <w:pBdr>
          <w:bottom w:val="single" w:color="1B4F8A" w:sz="8" w:space="4"/>
        </w:pBdr>
        <w:spacing w:before="360" w:after="120"/>
      </w:pPr>
      <w:r>
        <w:rPr>
          <w:rFonts w:ascii="Arial" w:cs="Arial" w:eastAsia="Arial" w:hAnsi="Arial"/>
          <w:b/>
          <w:bCs/>
          <w:color w:val="1B4F8A"/>
          <w:sz w:val="32"/>
          <w:szCs w:val="32"/>
        </w:rPr>
        <w:t xml:space="preserve">4. Business Impact and Recommended Application Scenarios</w:t>
      </w:r>
    </w:p>
    <w:p>
      <w:pPr>
        <w:spacing w:before="80" w:after="80" w:line="320"/>
      </w:pPr>
      <w:r>
        <w:rPr>
          <w:rFonts w:ascii="Arial" w:cs="Arial" w:eastAsia="Arial" w:hAnsi="Arial"/>
          <w:color w:val="555555"/>
          <w:sz w:val="22"/>
          <w:szCs w:val="22"/>
        </w:rPr>
        <w:t xml:space="preserve">The commercial implications of IEEE 802.11 AI Offload standardization are substantial. By creating an interoperable, vendor-neutral protocol for edge AI delivery, the standard lowers the barrier to deploying AI across a wide range of end markets and device categories.</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4.1 Business Impact</w:t>
      </w:r>
    </w:p>
    <w:p>
      <w:pPr>
        <w:pStyle w:val="ListParagraph"/>
        <w:numPr>
          <w:ilvl w:val="0"/>
          <w:numId w:val="2"/>
        </w:numPr>
        <w:spacing w:before="40" w:after="40" w:line="300"/>
      </w:pPr>
      <w:r>
        <w:rPr>
          <w:rFonts w:ascii="Arial" w:cs="Arial" w:eastAsia="Arial" w:hAnsi="Arial"/>
          <w:b/>
          <w:bCs/>
          <w:color w:val="1A1A2E"/>
          <w:sz w:val="22"/>
          <w:szCs w:val="22"/>
        </w:rPr>
        <w:t xml:space="preserve">AP and edge device vendors: </w:t>
      </w:r>
      <w:r>
        <w:rPr>
          <w:rFonts w:ascii="Arial" w:cs="Arial" w:eastAsia="Arial" w:hAnsi="Arial"/>
          <w:color w:val="555555"/>
          <w:sz w:val="22"/>
          <w:szCs w:val="22"/>
        </w:rPr>
        <w:t xml:space="preserve">Market expansion for edge AI compute platforms</w:t>
      </w:r>
    </w:p>
    <w:p>
      <w:pPr>
        <w:pStyle w:val="ListParagraph"/>
        <w:numPr>
          <w:ilvl w:val="0"/>
          <w:numId w:val="2"/>
        </w:numPr>
        <w:spacing w:before="40" w:after="40" w:line="300"/>
      </w:pPr>
      <w:r>
        <w:rPr>
          <w:rFonts w:ascii="Arial" w:cs="Arial" w:eastAsia="Arial" w:hAnsi="Arial"/>
          <w:b/>
          <w:bCs/>
          <w:color w:val="1A1A2E"/>
          <w:sz w:val="22"/>
          <w:szCs w:val="22"/>
        </w:rPr>
        <w:t xml:space="preserve">Client device OEMs: </w:t>
      </w:r>
      <w:r>
        <w:rPr>
          <w:rFonts w:ascii="Arial" w:cs="Arial" w:eastAsia="Arial" w:hAnsi="Arial"/>
          <w:color w:val="555555"/>
          <w:sz w:val="22"/>
          <w:szCs w:val="22"/>
        </w:rPr>
        <w:t xml:space="preserve">Reduced integration cost and time-to-market for AI-enabled client device development through reliance on a common standard</w:t>
      </w:r>
    </w:p>
    <w:p>
      <w:pPr>
        <w:pStyle w:val="ListParagraph"/>
        <w:numPr>
          <w:ilvl w:val="0"/>
          <w:numId w:val="2"/>
        </w:numPr>
        <w:spacing w:before="40" w:after="40" w:line="300"/>
      </w:pPr>
      <w:r>
        <w:rPr>
          <w:rFonts w:ascii="Arial" w:cs="Arial" w:eastAsia="Arial" w:hAnsi="Arial"/>
          <w:b/>
          <w:bCs/>
          <w:color w:val="1A1A2E"/>
          <w:sz w:val="22"/>
          <w:szCs w:val="22"/>
        </w:rPr>
        <w:t xml:space="preserve">Service providers and platform operators: </w:t>
      </w:r>
      <w:r>
        <w:rPr>
          <w:rFonts w:ascii="Arial" w:cs="Arial" w:eastAsia="Arial" w:hAnsi="Arial"/>
          <w:color w:val="555555"/>
          <w:sz w:val="22"/>
          <w:szCs w:val="22"/>
        </w:rPr>
        <w:t xml:space="preserve">New recurring revenue opportunities from CaaS subscription models (inference-as-a-service, model marketplace)</w:t>
      </w:r>
    </w:p>
    <w:p>
      <w:pPr>
        <w:pStyle w:val="ListParagraph"/>
        <w:numPr>
          <w:ilvl w:val="0"/>
          <w:numId w:val="2"/>
        </w:numPr>
        <w:spacing w:before="40" w:after="40" w:line="300"/>
      </w:pPr>
      <w:r>
        <w:rPr>
          <w:rFonts w:ascii="Arial" w:cs="Arial" w:eastAsia="Arial" w:hAnsi="Arial"/>
          <w:b/>
          <w:bCs/>
          <w:color w:val="1A1A2E"/>
          <w:sz w:val="22"/>
          <w:szCs w:val="22"/>
        </w:rPr>
        <w:t xml:space="preserve">Enterprise IT and managed services: </w:t>
      </w:r>
      <w:r>
        <w:rPr>
          <w:rFonts w:ascii="Arial" w:cs="Arial" w:eastAsia="Arial" w:hAnsi="Arial"/>
          <w:color w:val="555555"/>
          <w:sz w:val="22"/>
          <w:szCs w:val="22"/>
        </w:rPr>
        <w:t xml:space="preserve">Competitive differentiation through certified AI model ecosystems and managed CaaS deployments</w:t>
      </w:r>
    </w:p>
    <w:p>
      <w:pPr>
        <w:pStyle w:val="ListParagraph"/>
        <w:numPr>
          <w:ilvl w:val="0"/>
          <w:numId w:val="2"/>
        </w:numPr>
        <w:spacing w:before="40" w:after="40" w:line="300"/>
      </w:pPr>
      <w:r>
        <w:rPr>
          <w:rFonts w:ascii="Arial" w:cs="Arial" w:eastAsia="Arial" w:hAnsi="Arial"/>
          <w:b/>
          <w:bCs/>
          <w:color w:val="1A1A2E"/>
          <w:sz w:val="22"/>
          <w:szCs w:val="22"/>
        </w:rPr>
        <w:t xml:space="preserve">IoT and consumer electronics: </w:t>
      </w:r>
      <w:r>
        <w:rPr>
          <w:rFonts w:ascii="Arial" w:cs="Arial" w:eastAsia="Arial" w:hAnsi="Arial"/>
          <w:color w:val="555555"/>
          <w:sz w:val="22"/>
          <w:szCs w:val="22"/>
        </w:rPr>
        <w:t xml:space="preserve">Accelerated adoption of AI in price-sensitive, compute-constrained device categories</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4.2 Recommended Application Scenarios</w:t>
      </w:r>
    </w:p>
    <w:p>
      <w:pPr>
        <w:spacing w:before="80" w:after="80" w:line="320"/>
      </w:pPr>
      <w:r>
        <w:rPr>
          <w:rFonts w:ascii="Arial" w:cs="Arial" w:eastAsia="Arial" w:hAnsi="Arial"/>
          <w:color w:val="555555"/>
          <w:sz w:val="22"/>
          <w:szCs w:val="22"/>
        </w:rPr>
        <w:t xml:space="preserve">The following scenarios represent the highest-readiness and highest-value deployment contexts for CaaS-enabled Wi-Fi AI Offload:</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Scenario A: Smart Home Security and Vision Analytics</w:t>
      </w:r>
    </w:p>
    <w:p>
      <w:pPr>
        <w:spacing w:before="80" w:after="80" w:line="320"/>
      </w:pPr>
      <w:r>
        <w:rPr>
          <w:rFonts w:ascii="Arial" w:cs="Arial" w:eastAsia="Arial" w:hAnsi="Arial"/>
          <w:color w:val="555555"/>
          <w:sz w:val="22"/>
          <w:szCs w:val="22"/>
        </w:rPr>
        <w:t xml:space="preserve">Low-cost Wi-Fi cameras lack the compute capacity for on-device inference. With CaaS, a camera streams image frames to a CaaS-enabled AP for inference (object detection, person recognition, anomaly detection) and receives structured event outputs. This eliminates cloud dependency, preserves privacy, and reduces latency to sub-50ms for real-time alerting. This is explicitly cited in the WNG submission as a primary motivating use case.</w:t>
      </w:r>
    </w:p>
    <w:p>
      <w:pPr>
        <w:pStyle w:val="Heading2"/>
        <w:spacing w:before="280" w:after="80"/>
      </w:pPr>
      <w:r>
        <w:rPr>
          <w:rFonts w:ascii="Arial" w:cs="Arial" w:eastAsia="Arial" w:hAnsi="Arial"/>
          <w:b/>
          <w:bCs/>
          <w:color w:val="1A1A2E"/>
          <w:sz w:val="26"/>
          <w:szCs w:val="26"/>
        </w:rPr>
        <w:t xml:space="preserve">Scenario B: Enterprise Conversational AI at the Edge</w:t>
      </w:r>
    </w:p>
    <w:p>
      <w:pPr>
        <w:spacing w:before="80" w:after="80" w:line="320"/>
      </w:pPr>
      <w:r>
        <w:rPr>
          <w:rFonts w:ascii="Arial" w:cs="Arial" w:eastAsia="Arial" w:hAnsi="Arial"/>
          <w:color w:val="555555"/>
          <w:sz w:val="22"/>
          <w:szCs w:val="22"/>
        </w:rPr>
        <w:t xml:space="preserve">Enterprise Wi-Fi deployments can expose a CaaS-enabled AP as a local large language model inference node. Client devices — thin clients, shared workstations, meeting room systems — offload conversational AI queries to the edge compute node, ensuring that sensitive enterprise data (customer records, internal communications) never leaves the local network. This directly addresses data sovereignty and compliance requirements.</w:t>
      </w:r>
    </w:p>
    <w:p>
      <w:pPr>
        <w:pStyle w:val="Heading2"/>
        <w:spacing w:before="280" w:after="80"/>
      </w:pPr>
      <w:r>
        <w:rPr>
          <w:rFonts w:ascii="Arial" w:cs="Arial" w:eastAsia="Arial" w:hAnsi="Arial"/>
          <w:b/>
          <w:bCs/>
          <w:color w:val="1A1A2E"/>
          <w:sz w:val="26"/>
          <w:szCs w:val="26"/>
        </w:rPr>
        <w:t xml:space="preserve">Scenario C: Industrial IoT and Robotics</w:t>
      </w:r>
    </w:p>
    <w:p>
      <w:pPr>
        <w:spacing w:before="80" w:after="80" w:line="320"/>
      </w:pPr>
      <w:r>
        <w:rPr>
          <w:rFonts w:ascii="Arial" w:cs="Arial" w:eastAsia="Arial" w:hAnsi="Arial"/>
          <w:color w:val="555555"/>
          <w:sz w:val="22"/>
          <w:szCs w:val="22"/>
        </w:rPr>
        <w:t xml:space="preserve">Industrial sensors and mobile robots operating in Wi-Fi-covered facilities can offload AI inference tasks (predictive maintenance, visual quality control, navigation decision support) to edge compute APs. The low-latency, high-reliability characteristics of local inference are essential for safety-critical industrial applications where cloud connectivity cannot be relied upon.</w:t>
      </w:r>
    </w:p>
    <w:p>
      <w:pPr>
        <w:pStyle w:val="Heading2"/>
        <w:spacing w:before="280" w:after="80"/>
      </w:pPr>
      <w:r>
        <w:rPr>
          <w:rFonts w:ascii="Arial" w:cs="Arial" w:eastAsia="Arial" w:hAnsi="Arial"/>
          <w:b/>
          <w:bCs/>
          <w:color w:val="1A1A2E"/>
          <w:sz w:val="26"/>
          <w:szCs w:val="26"/>
        </w:rPr>
        <w:t xml:space="preserve">Scenario D: Agentic AI Orchestration in Smart Buildings</w:t>
      </w:r>
    </w:p>
    <w:p>
      <w:pPr>
        <w:spacing w:before="80" w:after="80" w:line="320"/>
      </w:pPr>
      <w:r>
        <w:rPr>
          <w:rFonts w:ascii="Arial" w:cs="Arial" w:eastAsia="Arial" w:hAnsi="Arial"/>
          <w:color w:val="555555"/>
          <w:sz w:val="22"/>
          <w:szCs w:val="22"/>
        </w:rPr>
        <w:t xml:space="preserve">As agentic AI frameworks mature, buildings equipped with CaaS-enabled Wi-Fi infrastructure can host distributed AI agent networks. Climate control agents, security agents, occupancy monitoring agents, and energy management agents can discover each other via IEEE 802.11 A2A discovery mechanisms and coordinate autonomously — a use case that requires the standardized inter-agent discovery layer proposed in the amendment.</w:t>
      </w:r>
    </w:p>
    <w:p>
      <w:pPr>
        <w:pStyle w:val="Heading2"/>
        <w:spacing w:before="280" w:after="80"/>
      </w:pPr>
      <w:r>
        <w:rPr>
          <w:rFonts w:ascii="Arial" w:cs="Arial" w:eastAsia="Arial" w:hAnsi="Arial"/>
          <w:b/>
          <w:bCs/>
          <w:color w:val="1A1A2E"/>
          <w:sz w:val="26"/>
          <w:szCs w:val="26"/>
        </w:rPr>
        <w:t xml:space="preserve">Scenario E: Healthcare and Assistive Technology</w:t>
      </w:r>
    </w:p>
    <w:p>
      <w:pPr>
        <w:spacing w:before="80" w:after="80" w:line="320"/>
      </w:pPr>
      <w:r>
        <w:rPr>
          <w:rFonts w:ascii="Arial" w:cs="Arial" w:eastAsia="Arial" w:hAnsi="Arial"/>
          <w:color w:val="555555"/>
          <w:sz w:val="22"/>
          <w:szCs w:val="22"/>
        </w:rPr>
        <w:t xml:space="preserve">Medical devices and assistive technology products face strict data privacy requirements that preclude cloud AI usage. CaaS-enabled Wi-Fi infrastructure in clinical environments enables AI inference for patient monitoring, diagnostic support, and assistive voice interfaces to be delivered locally, within the clinical network perimeter, without compromising patient data.</w:t>
      </w:r>
    </w:p>
    <w:p>
      <w:pPr>
        <w:spacing w:before="60" w:after="60"/>
      </w:pPr>
      <w:r>
        <w:t xml:space="preserve"/>
      </w:r>
    </w:p>
    <w:p>
      <w:pPr>
        <w:pStyle w:val="Heading1"/>
        <w:pBdr>
          <w:bottom w:val="single" w:color="1B4F8A" w:sz="8" w:space="4"/>
        </w:pBdr>
        <w:spacing w:before="360" w:after="120"/>
      </w:pPr>
      <w:r>
        <w:rPr>
          <w:rFonts w:ascii="Arial" w:cs="Arial" w:eastAsia="Arial" w:hAnsi="Arial"/>
          <w:b/>
          <w:bCs/>
          <w:color w:val="1B4F8A"/>
          <w:sz w:val="32"/>
          <w:szCs w:val="32"/>
        </w:rPr>
        <w:t xml:space="preserve">5. Recommendations to HQ for Innovation Project Implementation</w:t>
      </w:r>
    </w:p>
    <w:p>
      <w:pPr>
        <w:spacing w:before="80" w:after="80" w:line="320"/>
      </w:pPr>
      <w:r>
        <w:rPr>
          <w:rFonts w:ascii="Arial" w:cs="Arial" w:eastAsia="Arial" w:hAnsi="Arial"/>
          <w:color w:val="555555"/>
          <w:sz w:val="22"/>
          <w:szCs w:val="22"/>
        </w:rPr>
        <w:t xml:space="preserve">Based on the analysis of the IEEE 802.11 AI Offload initiative, we offer the following strategic recommendations for incorporating these technological leads into organizational innovation projects:</w:t>
      </w:r>
    </w:p>
    <w:p>
      <w:pPr>
        <w:spacing w:before="60" w:after="60"/>
      </w:pPr>
      <w:r>
        <w:t xml:space="preserve"/>
      </w:r>
    </w:p>
    <w:p>
      <w:pPr>
        <w:pStyle w:val="Heading2"/>
        <w:spacing w:before="280" w:after="80"/>
      </w:pPr>
      <w:r>
        <w:rPr>
          <w:rFonts w:ascii="Arial" w:cs="Arial" w:eastAsia="Arial" w:hAnsi="Arial"/>
          <w:b/>
          <w:bCs/>
          <w:color w:val="1A1A2E"/>
          <w:sz w:val="26"/>
          <w:szCs w:val="26"/>
        </w:rPr>
        <w:t xml:space="preserve">Recommendation 1: Establish a CaaS Reference Architecture Program</w:t>
      </w:r>
    </w:p>
    <w:p>
      <w:pPr>
        <w:spacing w:before="80" w:after="80" w:line="320"/>
      </w:pPr>
      <w:r>
        <w:rPr>
          <w:rFonts w:ascii="Arial" w:cs="Arial" w:eastAsia="Arial" w:hAnsi="Arial"/>
          <w:color w:val="555555"/>
          <w:sz w:val="22"/>
          <w:szCs w:val="22"/>
        </w:rPr>
        <w:t xml:space="preserve">Commission an internal cross-functional team to develop a reference CaaS architecture that maps the proposed IEEE 802.11 AI Offload protocol to the organization's existing product and service portfolio. This architecture should define how client devices, edge compute nodes, and model repositories interact, and serve as the blueprint for evaluating vendor partnerships and technology investments. Timeline: initiate immediately, with architecture review at SASB PAR Approval (September 2026).</w:t>
      </w:r>
    </w:p>
    <w:p>
      <w:pPr>
        <w:pStyle w:val="Heading2"/>
        <w:spacing w:before="280" w:after="80"/>
      </w:pPr>
      <w:r>
        <w:rPr>
          <w:rFonts w:ascii="Arial" w:cs="Arial" w:eastAsia="Arial" w:hAnsi="Arial"/>
          <w:b/>
          <w:bCs/>
          <w:color w:val="1A1A2E"/>
          <w:sz w:val="26"/>
          <w:szCs w:val="26"/>
        </w:rPr>
        <w:t xml:space="preserve">Recommendation 2: Engage in IEEE Study Group Participation</w:t>
      </w:r>
    </w:p>
    <w:p>
      <w:pPr>
        <w:spacing w:before="80" w:after="80" w:line="320"/>
      </w:pPr>
      <w:r>
        <w:rPr>
          <w:rFonts w:ascii="Arial" w:cs="Arial" w:eastAsia="Arial" w:hAnsi="Arial"/>
          <w:color w:val="555555"/>
          <w:sz w:val="22"/>
          <w:szCs w:val="22"/>
        </w:rPr>
        <w:t xml:space="preserve">The Study Group formation (May 2026) represents the highest-leverage point for influencing the final standard. HQ should identify technical representatives to participate in the IEEE 802.11 AI Offload Study Group, particularly in working groups addressing model certification requirements, security framework extensions, and A2A discovery — the areas most likely to shape ecosystem power dynamics. Companies that contribute to standards authorship gain first-mover advantages in implementation.</w:t>
      </w:r>
    </w:p>
    <w:p>
      <w:pPr>
        <w:pStyle w:val="Heading2"/>
        <w:spacing w:before="280" w:after="80"/>
      </w:pPr>
      <w:r>
        <w:rPr>
          <w:rFonts w:ascii="Arial" w:cs="Arial" w:eastAsia="Arial" w:hAnsi="Arial"/>
          <w:b/>
          <w:bCs/>
          <w:color w:val="1A1A2E"/>
          <w:sz w:val="26"/>
          <w:szCs w:val="26"/>
        </w:rPr>
        <w:t xml:space="preserve">Recommendation 3: Pilot CaaS Deployment in Controlled Environments</w:t>
      </w:r>
    </w:p>
    <w:p>
      <w:pPr>
        <w:spacing w:before="80" w:after="80" w:line="320"/>
      </w:pPr>
      <w:r>
        <w:rPr>
          <w:rFonts w:ascii="Arial" w:cs="Arial" w:eastAsia="Arial" w:hAnsi="Arial"/>
          <w:color w:val="555555"/>
          <w:sz w:val="22"/>
          <w:szCs w:val="22"/>
        </w:rPr>
        <w:t xml:space="preserve">Prior to standard finalization, initiate a pre-standard pilot using available vendor SDKs (Qualcomm, MediaTek) to validate CaaS deployment in one or two of the recommended application scenarios above — preferably Smart Home Vision Analytics (fastest to market) and Enterprise Conversational AI (highest enterprise value). Pilot learnings will inform the organization's standard compliance requirements and accelerate time-to-market when Draft 0.1 is released (target: July 2027).</w:t>
      </w:r>
    </w:p>
    <w:p>
      <w:pPr>
        <w:pStyle w:val="Heading2"/>
        <w:spacing w:before="280" w:after="80"/>
      </w:pPr>
      <w:r>
        <w:rPr>
          <w:rFonts w:ascii="Arial" w:cs="Arial" w:eastAsia="Arial" w:hAnsi="Arial"/>
          <w:b/>
          <w:bCs/>
          <w:color w:val="1A1A2E"/>
          <w:sz w:val="26"/>
          <w:szCs w:val="26"/>
        </w:rPr>
        <w:t xml:space="preserve">Recommendation 4: Develop a Model Repository and Certification Strategy</w:t>
      </w:r>
    </w:p>
    <w:p>
      <w:pPr>
        <w:spacing w:before="80" w:after="80" w:line="320"/>
      </w:pPr>
      <w:r>
        <w:rPr>
          <w:rFonts w:ascii="Arial" w:cs="Arial" w:eastAsia="Arial" w:hAnsi="Arial"/>
          <w:color w:val="555555"/>
          <w:sz w:val="22"/>
          <w:szCs w:val="22"/>
        </w:rPr>
        <w:t xml:space="preserve">The proposed standard includes provisions for certified model repositories hosted by neutral industry bodies. HQ should evaluate whether to: (a) contribute to an industry-neutral model repository consortium, (b) develop a proprietary certified model catalog for strategic verticals, or (c) pursue both in parallel. A model certification strategy developed now will position the organization advantageously as the standard matures and model marketplaces emerge.</w:t>
      </w:r>
    </w:p>
    <w:p>
      <w:pPr>
        <w:pStyle w:val="Heading2"/>
        <w:spacing w:before="280" w:after="80"/>
      </w:pPr>
      <w:r>
        <w:rPr>
          <w:rFonts w:ascii="Arial" w:cs="Arial" w:eastAsia="Arial" w:hAnsi="Arial"/>
          <w:b/>
          <w:bCs/>
          <w:color w:val="1A1A2E"/>
          <w:sz w:val="26"/>
          <w:szCs w:val="26"/>
        </w:rPr>
        <w:t xml:space="preserve">Recommendation 5: Define a CaaS Business Model</w:t>
      </w:r>
    </w:p>
    <w:p>
      <w:pPr>
        <w:spacing w:before="80" w:after="80" w:line="320"/>
      </w:pPr>
      <w:r>
        <w:rPr>
          <w:rFonts w:ascii="Arial" w:cs="Arial" w:eastAsia="Arial" w:hAnsi="Arial"/>
          <w:color w:val="555555"/>
          <w:sz w:val="22"/>
          <w:szCs w:val="22"/>
        </w:rPr>
        <w:t xml:space="preserve">The 'Compute as a Service' framing introduced by the WNG submission signals the emergence of inference-as-a-service as a viable commercial model for Wi-Fi infrastructure operators. HQ should initiate a business model exploration effort to evaluate subscription-based CaaS offerings, usage-based inference billing, and enterprise managed CaaS services. Revenue model design should precede the Task Group start (November 2026) to ensure product strategy aligns with standard capabilities.</w:t>
      </w:r>
    </w:p>
    <w:p>
      <w:pPr>
        <w:pStyle w:val="Heading2"/>
        <w:spacing w:before="280" w:after="80"/>
      </w:pPr>
      <w:r>
        <w:rPr>
          <w:rFonts w:ascii="Arial" w:cs="Arial" w:eastAsia="Arial" w:hAnsi="Arial"/>
          <w:b/>
          <w:bCs/>
          <w:color w:val="1A1A2E"/>
          <w:sz w:val="26"/>
          <w:szCs w:val="26"/>
        </w:rPr>
        <w:t xml:space="preserve">Recommendation 6: Monitor and Engage the Wi-Fi Alliance (WFA) Process</w:t>
      </w:r>
    </w:p>
    <w:p>
      <w:pPr>
        <w:spacing w:before="80" w:after="80" w:line="320"/>
      </w:pPr>
      <w:r>
        <w:rPr>
          <w:rFonts w:ascii="Arial" w:cs="Arial" w:eastAsia="Arial" w:hAnsi="Arial"/>
          <w:color w:val="555555"/>
          <w:sz w:val="22"/>
          <w:szCs w:val="22"/>
        </w:rPr>
        <w:t xml:space="preserve">As noted in the submission, the IEEE standardization model is complemented by Wi-Fi Alliance interoperability testing and marketing programs. HQ should monitor WFA's engagement with the AI Offload initiative and plan for early WFA interoperability certification once the standard reaches sufficient maturity. WFA certification will be the primary market signal for enterprise and consumer adoption — organizations that achieve early certification gain significant commercial credibility.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80"/>
          <w:bottom w:type="dxa" w:w="80"/>
        </w:tblCellMar>
      </w:tblPr>
      <w:tblGrid>
        <w:gridCol w:w="1200"/>
        <w:gridCol w:w="8160"/>
      </w:tblGrid>
      <w:tr>
        <w:tc>
          <w:tcPr>
            <w:tcW w:type="dxa" w:w="1200"/>
            <w:tcBorders>
              <w:top w:val="none"/>
              <w:left w:val="none"/>
              <w:bottom w:val="none"/>
              <w:right w:val="none"/>
            </w:tcBorders>
            <w:shd w:fill="1B4F8A" w:val="clear"/>
            <w:tcMar>
              <w:top w:type="dxa" w:w="120"/>
              <w:left w:type="dxa" w:w="160"/>
              <w:bottom w:type="dxa" w:w="120"/>
              <w:right w:type="dxa" w:w="160"/>
            </w:tcMar>
            <w:vAlign w:val="center"/>
          </w:tcPr>
          <w:p>
            <w:pPr>
              <w:jc w:val="center"/>
            </w:pPr>
            <w:r>
              <w:rPr>
                <w:rFonts w:ascii="Arial" w:cs="Arial" w:eastAsia="Arial" w:hAnsi="Arial"/>
                <w:b/>
                <w:bCs/>
                <w:color w:val="FFFFFF"/>
                <w:sz w:val="18"/>
                <w:szCs w:val="18"/>
              </w:rPr>
              <w:t xml:space="preserve">TIMELINE WATCH</w:t>
            </w:r>
          </w:p>
        </w:tc>
        <w:tc>
          <w:tcPr>
            <w:tcW w:type="dxa" w:w="8160"/>
            <w:tcBorders>
              <w:top w:val="none"/>
              <w:left w:val="none"/>
              <w:bottom w:val="none"/>
              <w:right w:val="none"/>
            </w:tcBorders>
            <w:shd w:fill="E8EEF6" w:val="clear"/>
            <w:tcMar>
              <w:top w:type="dxa" w:w="120"/>
              <w:left w:type="dxa" w:w="200"/>
              <w:bottom w:type="dxa" w:w="120"/>
              <w:right w:type="dxa" w:w="200"/>
            </w:tcMar>
          </w:tcPr>
          <w:p>
            <w:r>
              <w:rPr>
                <w:rFonts w:ascii="Arial" w:cs="Arial" w:eastAsia="Arial" w:hAnsi="Arial"/>
                <w:i/>
                <w:iCs/>
                <w:color w:val="1A1A2E"/>
                <w:sz w:val="20"/>
                <w:szCs w:val="20"/>
              </w:rPr>
              <w:t xml:space="preserve">Key milestones: Study Group Start — May 2026 | SASB PAR Approval — September 2026 | Task Group Start — November 2026 | Draft 0.1 Standard — July 2027 (projected). Align internal innovation sprints to these inflection points.</w:t>
            </w:r>
          </w:p>
        </w:tc>
      </w:tr>
    </w:tbl>
    <w:p>
      <w:pPr>
        <w:spacing w:before="60" w:after="60"/>
      </w:pPr>
      <w:r>
        <w:t xml:space="preserve"/>
      </w:r>
    </w:p>
    <w:p>
      <w:pPr>
        <w:pStyle w:val="Heading1"/>
        <w:pBdr>
          <w:bottom w:val="single" w:color="1B4F8A" w:sz="8" w:space="4"/>
        </w:pBdr>
        <w:spacing w:before="360" w:after="120"/>
      </w:pPr>
      <w:r>
        <w:rPr>
          <w:rFonts w:ascii="Arial" w:cs="Arial" w:eastAsia="Arial" w:hAnsi="Arial"/>
          <w:b/>
          <w:bCs/>
          <w:color w:val="1B4F8A"/>
          <w:sz w:val="32"/>
          <w:szCs w:val="32"/>
        </w:rPr>
        <w:t xml:space="preserve">Conclusion</w:t>
      </w:r>
    </w:p>
    <w:p>
      <w:pPr>
        <w:spacing w:before="80" w:after="80" w:line="320"/>
      </w:pPr>
      <w:r>
        <w:rPr>
          <w:rFonts w:ascii="Arial" w:cs="Arial" w:eastAsia="Arial" w:hAnsi="Arial"/>
          <w:color w:val="555555"/>
          <w:sz w:val="22"/>
          <w:szCs w:val="22"/>
        </w:rPr>
        <w:t xml:space="preserve">The IEEE 802 LMSC approval of the AI Offload Study Group marks a pivotal moment in the evolution of Wi-Fi from a connectivity standard to a compute delivery infrastructure. The proposed 'Compute as a Service' framework addresses a genuine and growing market need — enabling billions of resource-constrained devices to participate in AI-powered applications through standardized, secure, low-latency offload to Wi-Fi edge compute nodes.</w:t>
      </w:r>
    </w:p>
    <w:p>
      <w:pPr>
        <w:spacing w:before="60" w:after="60"/>
      </w:pPr>
      <w:r>
        <w:t xml:space="preserve"/>
      </w:r>
    </w:p>
    <w:p>
      <w:pPr>
        <w:spacing w:before="80" w:after="80" w:line="320"/>
      </w:pPr>
      <w:r>
        <w:rPr>
          <w:rFonts w:ascii="Arial" w:cs="Arial" w:eastAsia="Arial" w:hAnsi="Arial"/>
          <w:color w:val="555555"/>
          <w:sz w:val="22"/>
          <w:szCs w:val="22"/>
        </w:rPr>
        <w:t xml:space="preserve">The breadth of the authoring consortium — spanning Qualcomm, Cisco, MediaTek, Meta, ZTE, Huawei, NTT, OPPO, Sony, Nokia, and others — signals strong industry consensus and increases the probability of rapid adoption once the standard is ratified. Organizations that engage now, during the Study Group and PAR development phases, will be best positioned to shape the standard, achieve early compliance, and capture the commercial opportunities that CaaS-enabled Wi-Fi will unlock across consumer, enterprise, healthcare, and industrial markets.</w:t>
      </w:r>
    </w:p>
    <w:p>
      <w:pPr>
        <w:spacing w:before="60" w:after="60"/>
      </w:pPr>
      <w:r>
        <w:t xml:space="preserve"/>
      </w:r>
    </w:p>
    <w:p>
      <w:pPr>
        <w:spacing w:before="240" w:after="80"/>
        <w:jc w:val="right"/>
      </w:pPr>
      <w:r>
        <w:rPr>
          <w:rFonts w:ascii="Arial" w:cs="Arial" w:eastAsia="Arial" w:hAnsi="Arial"/>
          <w:i/>
          <w:iCs/>
          <w:color w:val="555555"/>
          <w:sz w:val="20"/>
          <w:szCs w:val="20"/>
        </w:rPr>
        <w:t xml:space="preserve">— End of Report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4F8A" w:sz="6" w:space="4"/>
      </w:pBdr>
      <w:tabs>
        <w:tab w:val="right" w:pos="9360"/>
      </w:tabs>
      <w:spacing w:before="100"/>
    </w:pPr>
    <w:r>
      <w:rPr>
        <w:rFonts w:ascii="Arial" w:cs="Arial" w:eastAsia="Arial" w:hAnsi="Arial"/>
        <w:color w:val="555555"/>
        <w:sz w:val="16"/>
        <w:szCs w:val="16"/>
      </w:rPr>
      <w:t xml:space="preserve">  IEEE 802.11 AI Offload Study Group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F8A" w:sz="6" w:space="4"/>
      </w:pBdr>
      <w:spacing w:after="100"/>
    </w:pPr>
    <w:r>
      <w:rPr>
        <w:rFonts w:ascii="Arial" w:cs="Arial" w:eastAsia="Arial" w:hAnsi="Arial"/>
        <w:b/>
        <w:bCs/>
        <w:color w:val="1B4F8A"/>
        <w:sz w:val="16"/>
        <w:szCs w:val="16"/>
      </w:rPr>
      <w:t xml:space="preserve">TECHNOLOGY INTELLIGENCE REPORT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A1A2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2026-03-19T20:03:08.516Z</dcterms:created>
  <dcterms:modified xsi:type="dcterms:W3CDTF">2026-03-19T20:03:08.517Z</dcterms:modified>
</cp:coreProperties>
</file>

<file path=docProps/custom.xml><?xml version="1.0" encoding="utf-8"?>
<Properties xmlns="http://schemas.openxmlformats.org/officeDocument/2006/custom-properties" xmlns:vt="http://schemas.openxmlformats.org/officeDocument/2006/docPropsVTypes"/>
</file>