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135AF" w14:textId="77777777" w:rsidR="00F34B31" w:rsidRPr="00F34B31" w:rsidRDefault="00F34B31" w:rsidP="00890E8A">
      <w:pPr>
        <w:spacing w:line="480" w:lineRule="auto"/>
        <w:rPr>
          <w:b/>
          <w:bCs/>
          <w:sz w:val="28"/>
          <w:szCs w:val="28"/>
        </w:rPr>
      </w:pPr>
      <w:r w:rsidRPr="00F34B31">
        <w:rPr>
          <w:b/>
          <w:bCs/>
          <w:sz w:val="28"/>
          <w:szCs w:val="28"/>
        </w:rPr>
        <w:t>The impact of periodontal prevalence trends on the costs and prevalence of dementia in England: a modelling study</w:t>
      </w:r>
    </w:p>
    <w:p w14:paraId="7F75528F" w14:textId="3916C074" w:rsidR="00F34B31" w:rsidRDefault="00F34B31" w:rsidP="00890E8A">
      <w:pPr>
        <w:spacing w:line="480" w:lineRule="auto"/>
        <w:rPr>
          <w:b/>
          <w:bCs/>
        </w:rPr>
      </w:pPr>
      <w:r>
        <w:rPr>
          <w:b/>
          <w:bCs/>
        </w:rPr>
        <w:t>Aim</w:t>
      </w:r>
    </w:p>
    <w:p w14:paraId="4E593734" w14:textId="4D9862BF" w:rsidR="00F34B31" w:rsidRDefault="00F34B31" w:rsidP="00890E8A">
      <w:pPr>
        <w:spacing w:line="480" w:lineRule="auto"/>
        <w:rPr>
          <w:b/>
          <w:bCs/>
        </w:rPr>
      </w:pPr>
      <w:r>
        <w:rPr>
          <w:b/>
          <w:bCs/>
        </w:rPr>
        <w:t>Methodology</w:t>
      </w:r>
    </w:p>
    <w:p w14:paraId="2F88224D" w14:textId="351EFE21" w:rsidR="00F34B31" w:rsidRDefault="00F34B31" w:rsidP="00890E8A">
      <w:pPr>
        <w:spacing w:line="480" w:lineRule="auto"/>
        <w:rPr>
          <w:b/>
          <w:bCs/>
        </w:rPr>
      </w:pPr>
      <w:r>
        <w:rPr>
          <w:b/>
          <w:bCs/>
        </w:rPr>
        <w:t>Results</w:t>
      </w:r>
    </w:p>
    <w:p w14:paraId="2E221DDF" w14:textId="48E4672E" w:rsidR="00F34B31" w:rsidRDefault="00F34B31" w:rsidP="00890E8A">
      <w:pPr>
        <w:spacing w:line="480" w:lineRule="auto"/>
        <w:rPr>
          <w:b/>
          <w:bCs/>
        </w:rPr>
      </w:pPr>
      <w:r>
        <w:rPr>
          <w:b/>
          <w:bCs/>
        </w:rPr>
        <w:t>Conclusions</w:t>
      </w:r>
    </w:p>
    <w:p w14:paraId="15D8E144" w14:textId="77777777" w:rsidR="00F34B31" w:rsidRDefault="00F34B31" w:rsidP="00890E8A">
      <w:pPr>
        <w:spacing w:line="480" w:lineRule="auto"/>
        <w:rPr>
          <w:b/>
          <w:bCs/>
        </w:rPr>
      </w:pPr>
    </w:p>
    <w:p w14:paraId="7DBBE6B5" w14:textId="77D7C4D1" w:rsidR="00F34B31" w:rsidRDefault="00F34B31" w:rsidP="00890E8A">
      <w:pPr>
        <w:spacing w:line="480" w:lineRule="auto"/>
        <w:rPr>
          <w:b/>
          <w:bCs/>
        </w:rPr>
      </w:pPr>
      <w:r>
        <w:rPr>
          <w:b/>
          <w:bCs/>
        </w:rPr>
        <w:t>Intro</w:t>
      </w:r>
    </w:p>
    <w:p w14:paraId="1056142D" w14:textId="77777777" w:rsidR="00F34B31" w:rsidRPr="00511962" w:rsidRDefault="00F34B31" w:rsidP="00890E8A">
      <w:pPr>
        <w:spacing w:line="480" w:lineRule="auto"/>
      </w:pPr>
      <w:r w:rsidRPr="00511962">
        <w:t>The burden of periodontal disease</w:t>
      </w:r>
      <w:r>
        <w:t>s</w:t>
      </w:r>
      <w:r w:rsidRPr="00511962">
        <w:t xml:space="preserve"> (PD), including both gingivitis and periodontitis, in</w:t>
      </w:r>
      <w:r>
        <w:t xml:space="preserve"> </w:t>
      </w:r>
      <w:r w:rsidRPr="00511962">
        <w:t>England is s</w:t>
      </w:r>
      <w:r>
        <w:t>ubstantial</w:t>
      </w:r>
      <w:r w:rsidRPr="00511962">
        <w:t xml:space="preserve">. The Adult Oral Health Survey 2021 reported that 19% of adults had been told by a dental professional that they had </w:t>
      </w:r>
      <w:r>
        <w:t>PD</w:t>
      </w:r>
      <w:r w:rsidRPr="00511962">
        <w:t>, and 27% ha</w:t>
      </w:r>
      <w:r>
        <w:t>d</w:t>
      </w:r>
      <w:r w:rsidRPr="00511962">
        <w:t xml:space="preserve"> bleeding gums</w:t>
      </w:r>
      <w:r>
        <w:t xml:space="preserve"> </w:t>
      </w:r>
      <w:r w:rsidRPr="00511962">
        <w:t>[1]. These values were self-reported, and may represent underestimation</w:t>
      </w:r>
      <w:r>
        <w:t>s</w:t>
      </w:r>
      <w:r w:rsidRPr="00511962">
        <w:t xml:space="preserve"> considering the </w:t>
      </w:r>
      <w:r>
        <w:t>potential disruptions</w:t>
      </w:r>
      <w:r w:rsidRPr="00511962">
        <w:t xml:space="preserve"> </w:t>
      </w:r>
      <w:r>
        <w:t xml:space="preserve">caused by the </w:t>
      </w:r>
      <w:r w:rsidRPr="00511962">
        <w:t>C</w:t>
      </w:r>
      <w:r>
        <w:t>OVID</w:t>
      </w:r>
      <w:r w:rsidRPr="00511962">
        <w:t xml:space="preserve">-19 pandemic </w:t>
      </w:r>
      <w:r>
        <w:t>to</w:t>
      </w:r>
      <w:r w:rsidRPr="00511962">
        <w:t xml:space="preserve"> the survey. Globally, there was a</w:t>
      </w:r>
      <w:r>
        <w:t>n estimated</w:t>
      </w:r>
      <w:r w:rsidRPr="00511962">
        <w:t xml:space="preserve"> 50% increase in oral disease </w:t>
      </w:r>
      <w:r>
        <w:t xml:space="preserve">cases </w:t>
      </w:r>
      <w:r w:rsidRPr="00511962">
        <w:t xml:space="preserve">between 1990 and 2019, which was higher than the 45% population growth over the period [2]. This trend is expected to </w:t>
      </w:r>
      <w:r>
        <w:t>increase</w:t>
      </w:r>
      <w:r w:rsidRPr="00511962">
        <w:t xml:space="preserve"> in high-income countries as the ageing populations results in individuals living longer with chronic diseases [3]. Estimations using multi-state population models for periodontal pocketing in the UK </w:t>
      </w:r>
      <w:r>
        <w:t>project</w:t>
      </w:r>
      <w:r w:rsidRPr="00511962">
        <w:t xml:space="preserve"> </w:t>
      </w:r>
      <w:r>
        <w:t>an</w:t>
      </w:r>
      <w:r w:rsidRPr="00511962">
        <w:t xml:space="preserve"> 8.7% increase from 2020 to 2050, with severe pocketing increasing by 56.7% [4]. This represents a sizable proportion of the population at risk of PD, a chronic inflammatory disease </w:t>
      </w:r>
      <w:r>
        <w:t>preventable</w:t>
      </w:r>
      <w:r w:rsidRPr="00511962">
        <w:t xml:space="preserve"> </w:t>
      </w:r>
      <w:r>
        <w:t xml:space="preserve">in </w:t>
      </w:r>
      <w:r w:rsidRPr="00511962">
        <w:t xml:space="preserve">early stages </w:t>
      </w:r>
      <w:r>
        <w:t>through targeted</w:t>
      </w:r>
      <w:r w:rsidRPr="00511962">
        <w:t xml:space="preserve"> oral interventions.</w:t>
      </w:r>
      <w:r>
        <w:t xml:space="preserve"> </w:t>
      </w:r>
    </w:p>
    <w:p w14:paraId="5150AC88" w14:textId="77777777" w:rsidR="00F34B31" w:rsidRDefault="00F34B31" w:rsidP="00890E8A">
      <w:pPr>
        <w:spacing w:line="480" w:lineRule="auto"/>
      </w:pPr>
      <w:r w:rsidRPr="00511962">
        <w:lastRenderedPageBreak/>
        <w:t xml:space="preserve">There is substantial evidence </w:t>
      </w:r>
      <w:r>
        <w:t xml:space="preserve">that </w:t>
      </w:r>
      <w:r w:rsidRPr="00511962">
        <w:t xml:space="preserve">PD </w:t>
      </w:r>
      <w:r>
        <w:t>is a risk factor for</w:t>
      </w:r>
      <w:r w:rsidRPr="00511962">
        <w:t xml:space="preserve"> dementia</w:t>
      </w:r>
      <w:r>
        <w:t xml:space="preserve"> [5,6]. Although PD and dementia share common risk factors there is strong evidence supporting a causal link. Periodontal infection leads to systemic inflammation, allowing high inflammatory immune responses to cross the blood-brain barrier which activates the microglial cells in the cerebral cortex, which may contribute to the pathogenesis of dementia [7,8]. Dementia patients have shown higher </w:t>
      </w:r>
      <w:r>
        <w:rPr>
          <w:i/>
          <w:iCs/>
        </w:rPr>
        <w:t>fusobacterium</w:t>
      </w:r>
      <w:r>
        <w:t xml:space="preserve"> loads, as well as </w:t>
      </w:r>
      <w:r>
        <w:rPr>
          <w:i/>
          <w:iCs/>
        </w:rPr>
        <w:t xml:space="preserve">Campylobacter rectus </w:t>
      </w:r>
      <w:r>
        <w:t xml:space="preserve">and </w:t>
      </w:r>
      <w:r>
        <w:rPr>
          <w:i/>
          <w:iCs/>
        </w:rPr>
        <w:t>Porphyromonas gingivalis</w:t>
      </w:r>
      <w:r>
        <w:t xml:space="preserve">, both species of bacteria that are biomarkers for severe PD [9]. One review found that PD was associated with a 22% higher risk of incident dementia during a mean follow up of 11 years, with another using cohort studies to suggest a relative risk (RR) of 1.18 (1.06-1.31) for incident dementia in relation to PD [6,10]. There is bidirectional causality, as an individual’s ability to maintain their oral health deteriorates with increased dementia symptoms [11]. However, trial emulation studies testing periodontal treatments have shown their ability to reduce dementia-related brain atrophy in the treatment arms (-0.41; 95% CI; -0.70 to -0.12; </w:t>
      </w:r>
      <w:r w:rsidRPr="00AC7BF1">
        <w:rPr>
          <w:i/>
          <w:iCs/>
        </w:rPr>
        <w:t>P</w:t>
      </w:r>
      <w:r>
        <w:t xml:space="preserve">= 0.0051) [12]. A retrospective cohort study also identified that periodontal treatment reduced the risk of dementia mortality [13]. Longitudinal cohort studies have revealed that PD was significantly associated with increased dementia incidence, even after adjusting for major chronic diseases [14,15,16]. These longitudinal studies were restricted to dementia-free participants at baseline, minimising reverse causality. </w:t>
      </w:r>
    </w:p>
    <w:p w14:paraId="1EF7C15D" w14:textId="77777777" w:rsidR="00F34B31" w:rsidRDefault="00F34B31" w:rsidP="00890E8A">
      <w:pPr>
        <w:spacing w:line="480" w:lineRule="auto"/>
      </w:pPr>
      <w:r>
        <w:t>Dementia costs in England are expected to rise significantly, with one estimate forecasting a 173% rise from 2019 to 2040, totalling £80.4 billion by 2040 [17]. Costs for England account for 85% of the total 2040 costs</w:t>
      </w:r>
      <w:r w:rsidRPr="00C13D70">
        <w:t xml:space="preserve"> </w:t>
      </w:r>
      <w:r>
        <w:t xml:space="preserve">for the UK. The same projection gives 1,352,400 million total older people living with dementia in England in 2040, also accounting for 85% of the UK’s total burden. Approximately 45% of all dementia cases </w:t>
      </w:r>
      <w:r>
        <w:lastRenderedPageBreak/>
        <w:t xml:space="preserve">are attributable to preventable risk factors [18]. Modelling the effects of population-based interventions on dementia risk factors can provide estimates of potential cost-saving. If hypertension prevalence fell in England and Wales by 50% between 2027 and 2060, an estimated 57 fewer deaths per 100,000 population but an increase of 9 more dementia cases per 100,000 is expected [19]. This highlights the interplay </w:t>
      </w:r>
      <w:r w:rsidRPr="000029C2">
        <w:t>between reduced risk factor prevalence and extended life expectancy, which may raise overall dementia prevalence.</w:t>
      </w:r>
      <w:r>
        <w:t xml:space="preserve"> A 50% reduction in the current global prevalence of PD could prevent 850,000 individuals from developing dementia [6]. </w:t>
      </w:r>
      <w:r w:rsidRPr="00E249D4">
        <w:t>Given the strong evidence linking periodontal disease to dementia and the projected rise in dementia-related costs, estimating the effects of reducing periodontal disease prevalence is essential to inform prevention strategies.</w:t>
      </w:r>
      <w:r>
        <w:t xml:space="preserve"> </w:t>
      </w:r>
    </w:p>
    <w:p w14:paraId="21C1CC1A" w14:textId="77777777" w:rsidR="00F34B31" w:rsidRDefault="00F34B31" w:rsidP="00890E8A">
      <w:pPr>
        <w:spacing w:line="480" w:lineRule="auto"/>
      </w:pPr>
      <w:r>
        <w:t xml:space="preserve">We use an individual-level microsimulation model to estimate the costs and benefits associated with changes in PD prevalence on future dementia outcomes. We start with the current estimated PD prevalence of 50%, then test a best- and worst-case scenario of 25% and 75%. This will account for the effects of other dementia risk factors on both dementia and mortality risk. </w:t>
      </w:r>
    </w:p>
    <w:p w14:paraId="2C01CDEE" w14:textId="77777777" w:rsidR="00F34B31" w:rsidRDefault="00F34B31" w:rsidP="00890E8A">
      <w:pPr>
        <w:spacing w:line="480" w:lineRule="auto"/>
        <w:rPr>
          <w:b/>
          <w:bCs/>
        </w:rPr>
      </w:pPr>
    </w:p>
    <w:p w14:paraId="2192E2B2" w14:textId="33E2ED38" w:rsidR="00F34B31" w:rsidRDefault="00F34B31" w:rsidP="00890E8A">
      <w:pPr>
        <w:spacing w:line="480" w:lineRule="auto"/>
        <w:rPr>
          <w:b/>
          <w:bCs/>
        </w:rPr>
      </w:pPr>
      <w:r>
        <w:rPr>
          <w:b/>
          <w:bCs/>
        </w:rPr>
        <w:t>Methodology</w:t>
      </w:r>
    </w:p>
    <w:p w14:paraId="3566439F" w14:textId="5E2D0A60" w:rsidR="00911285" w:rsidRPr="00564002" w:rsidRDefault="00911285" w:rsidP="00890E8A">
      <w:pPr>
        <w:spacing w:line="480" w:lineRule="auto"/>
      </w:pPr>
      <w:r w:rsidRPr="00721DC7">
        <w:t>We simulated the England population from 2023 to 2040 in annual time steps. Each year, new individuals were added to the simulation based on age- and sex-specific population projections from the ONS [</w:t>
      </w:r>
      <w:r w:rsidR="000B098C">
        <w:t>20</w:t>
      </w:r>
      <w:r w:rsidRPr="00721DC7">
        <w:t>,</w:t>
      </w:r>
      <w:r w:rsidR="00D2698A">
        <w:t>21</w:t>
      </w:r>
      <w:r w:rsidRPr="00721DC7">
        <w:t>]</w:t>
      </w:r>
      <w:r>
        <w:t>.</w:t>
      </w:r>
      <w:r w:rsidRPr="00564002">
        <w:t xml:space="preserve"> </w:t>
      </w:r>
      <w:r>
        <w:t xml:space="preserve">Dementia cases formally diagnosed and added on the Primary Care Dementia Data register were used to set the model. </w:t>
      </w:r>
    </w:p>
    <w:p w14:paraId="2F3D092C" w14:textId="3A8932F7" w:rsidR="00911285" w:rsidRDefault="00911285" w:rsidP="00890E8A">
      <w:pPr>
        <w:spacing w:line="480" w:lineRule="auto"/>
      </w:pPr>
      <w:r w:rsidRPr="007923CD">
        <w:lastRenderedPageBreak/>
        <w:t>We developed a stochastic, time-to-event microsimulation model for dementia progression (similar to prior models in the Netherlands and USA)</w:t>
      </w:r>
      <w:r>
        <w:t xml:space="preserve"> [2</w:t>
      </w:r>
      <w:r w:rsidR="00DE1D9A">
        <w:t>2</w:t>
      </w:r>
      <w:r>
        <w:t>,</w:t>
      </w:r>
      <w:r w:rsidR="00DE1D9A">
        <w:t>2</w:t>
      </w:r>
      <w:r>
        <w:t>3].</w:t>
      </w:r>
      <w:r w:rsidRPr="00564002">
        <w:t xml:space="preserve"> Aligning risks to change with age is necessary in modelling for dementia, where the onset and death increases with age [</w:t>
      </w:r>
      <w:r w:rsidR="008D3090">
        <w:t>2</w:t>
      </w:r>
      <w:r w:rsidRPr="00564002">
        <w:t>4]. Our model is similar to the IMPACT-BAM model that combines longitudinal data and mortality projections for transition probabilities [</w:t>
      </w:r>
      <w:r w:rsidR="00620A94">
        <w:t>19</w:t>
      </w:r>
      <w:r w:rsidRPr="00564002">
        <w:t xml:space="preserve">]. </w:t>
      </w:r>
    </w:p>
    <w:p w14:paraId="0C425D2B" w14:textId="41D0AD8B" w:rsidR="00F07726" w:rsidRPr="00564002" w:rsidRDefault="00F07726" w:rsidP="00890E8A">
      <w:pPr>
        <w:spacing w:line="480" w:lineRule="auto"/>
      </w:pPr>
      <w:r w:rsidRPr="00564002">
        <w:t>Dementia in our model is split in five stages; cognitively normal, mild, moderate, severe, and death. Individuals can die at any stage of causes other than dementia. State changes are simulated each year, with probabilities attached to individuals with dementia to be treated at home, in an institution, or remain in current location. It was assumed that all institutions are NHS</w:t>
      </w:r>
      <w:r>
        <w:t>-funded</w:t>
      </w:r>
      <w:r w:rsidRPr="00564002">
        <w:t>. Dementia was defined as all-cause dementia, referring to any type of dementia regardless of its cause, due to its use in epidemiological studies to capture the effects on the total dementia burden. This reflects the definition of dementia recorded by Primary Care Dementia Data collected by NHS England [</w:t>
      </w:r>
      <w:r>
        <w:t>25</w:t>
      </w:r>
      <w:r w:rsidRPr="00564002">
        <w:t>]</w:t>
      </w:r>
      <w:r>
        <w:t xml:space="preserve">. </w:t>
      </w:r>
      <w:r w:rsidRPr="00564002">
        <w:t xml:space="preserve">The baseline onset probability of dementia was calculated using current dementia incidence from NHS England data. </w:t>
      </w:r>
      <w:r>
        <w:t>New entrants accounting for the aging population changes were calculated from ONS projections [</w:t>
      </w:r>
      <w:r w:rsidR="0039762C">
        <w:t>21</w:t>
      </w:r>
      <w:r>
        <w:t xml:space="preserve">]. </w:t>
      </w:r>
      <w:r w:rsidRPr="00564002">
        <w:t>We calibrated our model to prevalence</w:t>
      </w:r>
      <w:r>
        <w:t>, population</w:t>
      </w:r>
      <w:r w:rsidRPr="00564002">
        <w:t xml:space="preserve"> and </w:t>
      </w:r>
      <w:r>
        <w:t xml:space="preserve">mortality </w:t>
      </w:r>
      <w:r w:rsidRPr="00564002">
        <w:t xml:space="preserve">data </w:t>
      </w:r>
      <w:r>
        <w:t xml:space="preserve">for </w:t>
      </w:r>
      <w:r w:rsidRPr="00564002">
        <w:t>2024</w:t>
      </w:r>
      <w:r>
        <w:t xml:space="preserve"> (supplementary information</w:t>
      </w:r>
      <w:r w:rsidRPr="00564002">
        <w:t xml:space="preserve"> </w:t>
      </w:r>
      <w:proofErr w:type="spellStart"/>
      <w:r w:rsidRPr="00564002">
        <w:t>pp.xx</w:t>
      </w:r>
      <w:proofErr w:type="spellEnd"/>
      <w:r w:rsidRPr="00564002">
        <w:t>-xx).</w:t>
      </w:r>
      <w:r>
        <w:t xml:space="preserve"> </w:t>
      </w:r>
    </w:p>
    <w:p w14:paraId="68FCEF98" w14:textId="77777777" w:rsidR="00F07726" w:rsidRPr="00564002" w:rsidRDefault="00F07726" w:rsidP="00890E8A">
      <w:pPr>
        <w:spacing w:line="480" w:lineRule="auto"/>
      </w:pPr>
      <m:oMathPara>
        <m:oMath>
          <m:sSub>
            <m:sSubPr>
              <m:ctrlPr>
                <w:rPr>
                  <w:rFonts w:ascii="Cambria Math" w:hAnsi="Cambria Math"/>
                  <w:i/>
                </w:rPr>
              </m:ctrlPr>
            </m:sSubPr>
            <m:e>
              <m:r>
                <w:rPr>
                  <w:rFonts w:ascii="Cambria Math" w:hAnsi="Cambria Math"/>
                </w:rPr>
                <m:t>h</m:t>
              </m:r>
            </m:e>
            <m:sub>
              <m:r>
                <w:rPr>
                  <w:rFonts w:ascii="Cambria Math" w:hAnsi="Cambria Math"/>
                </w:rPr>
                <m:t>onset</m:t>
              </m:r>
            </m:sub>
          </m:sSub>
          <m:d>
            <m:dPr>
              <m:ctrlPr>
                <w:rPr>
                  <w:rFonts w:ascii="Cambria Math" w:hAnsi="Cambria Math"/>
                  <w:i/>
                </w:rPr>
              </m:ctrlPr>
            </m:dPr>
            <m:e>
              <m:r>
                <w:rPr>
                  <w:rFonts w:ascii="Cambria Math" w:hAnsi="Cambria Math"/>
                </w:rPr>
                <m:t>a,R</m:t>
              </m:r>
            </m:e>
          </m:d>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m:t>
          </m:r>
          <m:func>
            <m:funcPr>
              <m:ctrlPr>
                <w:rPr>
                  <w:rFonts w:ascii="Cambria Math" w:hAnsi="Cambria Math"/>
                  <w:i/>
                </w:rPr>
              </m:ctrlPr>
            </m:funcPr>
            <m:fName>
              <m:r>
                <m:rPr>
                  <m:sty m:val="p"/>
                </m:rPr>
                <w:rPr>
                  <w:rFonts w:ascii="Cambria Math" w:hAnsi="Cambria Math"/>
                </w:rPr>
                <m:t>exp</m:t>
              </m:r>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onset</m:t>
                      </m:r>
                    </m:sub>
                  </m:sSub>
                  <m:d>
                    <m:dPr>
                      <m:ctrlPr>
                        <w:rPr>
                          <w:rFonts w:ascii="Cambria Math" w:hAnsi="Cambria Math"/>
                          <w:i/>
                        </w:rPr>
                      </m:ctrlPr>
                    </m:dPr>
                    <m:e>
                      <m:r>
                        <w:rPr>
                          <w:rFonts w:ascii="Cambria Math" w:hAnsi="Cambria Math"/>
                        </w:rPr>
                        <m:t>a-re</m:t>
                      </m:r>
                      <m:sSub>
                        <m:sSubPr>
                          <m:ctrlPr>
                            <w:rPr>
                              <w:rFonts w:ascii="Cambria Math" w:hAnsi="Cambria Math"/>
                              <w:i/>
                            </w:rPr>
                          </m:ctrlPr>
                        </m:sSubPr>
                        <m:e>
                          <m:r>
                            <w:rPr>
                              <w:rFonts w:ascii="Cambria Math" w:hAnsi="Cambria Math"/>
                            </w:rPr>
                            <m:t>f</m:t>
                          </m:r>
                        </m:e>
                        <m:sub>
                          <m:r>
                            <w:rPr>
                              <w:rFonts w:ascii="Cambria Math" w:hAnsi="Cambria Math"/>
                            </w:rPr>
                            <m:t>age</m:t>
                          </m:r>
                        </m:sub>
                      </m:sSub>
                    </m:e>
                  </m:d>
                </m:e>
              </m:d>
            </m:e>
          </m:func>
          <m:r>
            <w:rPr>
              <w:rFonts w:ascii="Cambria Math" w:hAnsi="Cambria Math"/>
            </w:rPr>
            <m:t xml:space="preserve">* </m:t>
          </m:r>
          <m:nary>
            <m:naryPr>
              <m:chr m:val="∏"/>
              <m:limLoc m:val="undOvr"/>
              <m:supHide m:val="1"/>
              <m:ctrlPr>
                <w:rPr>
                  <w:rFonts w:ascii="Cambria Math" w:hAnsi="Cambria Math"/>
                  <w:i/>
                </w:rPr>
              </m:ctrlPr>
            </m:naryPr>
            <m:sub>
              <m:r>
                <w:rPr>
                  <w:rFonts w:ascii="Cambria Math" w:hAnsi="Cambria Math"/>
                </w:rPr>
                <m:t>k∈R</m:t>
              </m:r>
            </m:sub>
            <m:sup/>
            <m:e>
              <m:sSubSup>
                <m:sSubSupPr>
                  <m:ctrlPr>
                    <w:rPr>
                      <w:rFonts w:ascii="Cambria Math" w:hAnsi="Cambria Math"/>
                      <w:i/>
                    </w:rPr>
                  </m:ctrlPr>
                </m:sSubSupPr>
                <m:e>
                  <m:r>
                    <w:rPr>
                      <w:rFonts w:ascii="Cambria Math" w:hAnsi="Cambria Math"/>
                    </w:rPr>
                    <m:t>RR</m:t>
                  </m:r>
                </m:e>
                <m:sub>
                  <m:r>
                    <w:rPr>
                      <w:rFonts w:ascii="Cambria Math" w:hAnsi="Cambria Math"/>
                    </w:rPr>
                    <m:t>k</m:t>
                  </m:r>
                </m:sub>
                <m:sup>
                  <m:sSub>
                    <m:sSubPr>
                      <m:ctrlPr>
                        <w:rPr>
                          <w:rFonts w:ascii="Cambria Math" w:hAnsi="Cambria Math"/>
                          <w:i/>
                        </w:rPr>
                      </m:ctrlPr>
                    </m:sSubPr>
                    <m:e>
                      <m:r>
                        <w:rPr>
                          <w:rFonts w:ascii="Cambria Math" w:hAnsi="Cambria Math"/>
                        </w:rPr>
                        <m:t>w</m:t>
                      </m:r>
                    </m:e>
                    <m:sub>
                      <m:r>
                        <w:rPr>
                          <w:rFonts w:ascii="Cambria Math" w:hAnsi="Cambria Math"/>
                        </w:rPr>
                        <m:t>k</m:t>
                      </m:r>
                    </m:sub>
                  </m:sSub>
                </m:sup>
              </m:sSubSup>
            </m:e>
          </m:nary>
          <m:r>
            <w:rPr>
              <w:rFonts w:ascii="Cambria Math" w:hAnsi="Cambria Math"/>
            </w:rPr>
            <m:t xml:space="preserve"> </m:t>
          </m:r>
        </m:oMath>
      </m:oMathPara>
    </w:p>
    <w:p w14:paraId="4A80842B" w14:textId="77777777" w:rsidR="00F07726" w:rsidRPr="00564002" w:rsidRDefault="00F07726" w:rsidP="00890E8A">
      <w:pPr>
        <w:spacing w:line="480" w:lineRule="auto"/>
      </w:pPr>
      <w:r w:rsidRPr="00564002">
        <w:rPr>
          <w:b/>
          <w:bCs/>
        </w:rPr>
        <w:t xml:space="preserve">Equation 1 </w:t>
      </w:r>
      <w:r w:rsidRPr="00564002">
        <w:t xml:space="preserve">Dementia onset formula </w:t>
      </w:r>
    </w:p>
    <w:p w14:paraId="1D194BE6" w14:textId="7A6D8FB1" w:rsidR="000E1B44" w:rsidRPr="00564002" w:rsidRDefault="000E1B44" w:rsidP="00890E8A">
      <w:pPr>
        <w:spacing w:line="480" w:lineRule="auto"/>
      </w:pPr>
      <w:r w:rsidRPr="00564002">
        <w:t>The mean time in each dementia stage has been collected from literature [</w:t>
      </w:r>
      <w:r w:rsidR="00977B2A">
        <w:t>26</w:t>
      </w:r>
      <w:r w:rsidRPr="00564002">
        <w:t xml:space="preserve">]. This provides a constant hazard for the effect that time in a dementia stage has on disease </w:t>
      </w:r>
      <w:r w:rsidRPr="00564002">
        <w:lastRenderedPageBreak/>
        <w:t>progression. We used a parametric proportional hazards age effect to scale the increasing effects that age has on dementia onset. This provides a continuous increase in risk with age rather than discrete banding, as seen in longitudinal studies of dementia incidence [</w:t>
      </w:r>
      <w:r w:rsidR="00977B2A">
        <w:t>26</w:t>
      </w:r>
      <w:r w:rsidRPr="00564002">
        <w:t>,</w:t>
      </w:r>
      <w:r w:rsidR="00977B2A">
        <w:t>27</w:t>
      </w:r>
      <w:r w:rsidRPr="00564002">
        <w:t xml:space="preserve">]. We calculated the relevant β’s for the per-year log-hazard slope increase of </w:t>
      </w:r>
      <w:r>
        <w:t>stage</w:t>
      </w:r>
      <w:r w:rsidRPr="00564002">
        <w:t xml:space="preserve"> transitions [</w:t>
      </w:r>
      <w:r w:rsidR="00696FF5">
        <w:t>2</w:t>
      </w:r>
      <w:r w:rsidR="00690F7C">
        <w:t>8</w:t>
      </w:r>
      <w:r w:rsidRPr="00564002">
        <w:t>,</w:t>
      </w:r>
      <w:r w:rsidR="00696FF5">
        <w:t>2</w:t>
      </w:r>
      <w:r w:rsidR="00690F7C">
        <w:t>9</w:t>
      </w:r>
      <w:r w:rsidRPr="00564002">
        <w:t>,</w:t>
      </w:r>
      <w:r w:rsidR="00690F7C">
        <w:t>30</w:t>
      </w:r>
      <w:r w:rsidRPr="00564002">
        <w:t xml:space="preserve">]. The risk factor effects are then applied to each individual specific transition, depending on where they are in the model and what risk factors that have. </w:t>
      </w:r>
      <w:r>
        <w:t xml:space="preserve"> Equation 1 shows how onset probability is calculated for each individual. We applied a uniform 2% annual inflation to the baseline onset hazard to align projections with observed and projected macro incidence trends [3</w:t>
      </w:r>
      <w:r w:rsidR="004C1B14">
        <w:t>1</w:t>
      </w:r>
      <w:r>
        <w:t xml:space="preserve">]. The multiplier is applied before age and risk-factor adjustments, so relative risks remain unchanged. Only the overall level shifts to reflect population-wide drivers such as demographic momentum and diagnostic improvements. </w:t>
      </w:r>
      <w:r w:rsidRPr="00564002">
        <w:t xml:space="preserve">Full details of our model mechanisms are provided in the </w:t>
      </w:r>
      <w:r>
        <w:t>supplementary information</w:t>
      </w:r>
      <w:r w:rsidRPr="00564002">
        <w:t xml:space="preserve"> (</w:t>
      </w:r>
      <w:proofErr w:type="spellStart"/>
      <w:r w:rsidRPr="00564002">
        <w:t>pp.x</w:t>
      </w:r>
      <w:proofErr w:type="spellEnd"/>
      <w:r w:rsidRPr="00564002">
        <w:t xml:space="preserve">-x). </w:t>
      </w:r>
    </w:p>
    <w:p w14:paraId="7480CCEC" w14:textId="77777777" w:rsidR="00F07726" w:rsidRDefault="00F07726" w:rsidP="00890E8A">
      <w:pPr>
        <w:spacing w:line="480" w:lineRule="auto"/>
      </w:pPr>
    </w:p>
    <w:p w14:paraId="1E54911E" w14:textId="77777777" w:rsidR="004877B3" w:rsidRPr="00564002" w:rsidRDefault="004877B3" w:rsidP="00890E8A">
      <w:pPr>
        <w:spacing w:line="480" w:lineRule="auto"/>
        <w:rPr>
          <w:b/>
          <w:bCs/>
        </w:rPr>
      </w:pPr>
      <w:r w:rsidRPr="00564002">
        <w:rPr>
          <w:b/>
          <w:bCs/>
        </w:rPr>
        <w:t>Risk factors</w:t>
      </w:r>
    </w:p>
    <w:p w14:paraId="2D4FF987" w14:textId="572D238C" w:rsidR="004877B3" w:rsidRDefault="004877B3" w:rsidP="00890E8A">
      <w:pPr>
        <w:spacing w:line="480" w:lineRule="auto"/>
      </w:pPr>
      <w:r w:rsidRPr="00564002">
        <w:t>Accurate dementia projections need to account for changes in incidence and</w:t>
      </w:r>
      <w:r>
        <w:t xml:space="preserve"> </w:t>
      </w:r>
      <w:r w:rsidRPr="00564002">
        <w:t>competing risk</w:t>
      </w:r>
      <w:r>
        <w:t xml:space="preserve">s </w:t>
      </w:r>
      <w:r w:rsidRPr="00564002">
        <w:t>over an individual’s lifetime [</w:t>
      </w:r>
      <w:r>
        <w:t>32</w:t>
      </w:r>
      <w:r w:rsidRPr="00564002">
        <w:t xml:space="preserve">]. In this model, risk factors interact with dementia onset and </w:t>
      </w:r>
      <w:r>
        <w:t>the probability of death in the severe stage</w:t>
      </w:r>
      <w:r w:rsidRPr="00564002">
        <w:t>. Only the time spent in dementia stages effects the progression through stages. We used HRs from literature to build risk factor interaction terms, split by sex where available. These selected risk factors were chosen due to the available evidence linking them to increased dementia risk, while together representing the major preventable factors of dementia inciden</w:t>
      </w:r>
      <w:r>
        <w:t>ce</w:t>
      </w:r>
      <w:r w:rsidRPr="00564002">
        <w:t xml:space="preserve">. Prevalence and relative risk were held </w:t>
      </w:r>
      <w:r>
        <w:t>constant</w:t>
      </w:r>
      <w:r w:rsidRPr="00564002">
        <w:t xml:space="preserve">, with only PD prevalence changing. </w:t>
      </w:r>
    </w:p>
    <w:p w14:paraId="44AA9BD5" w14:textId="60F26838" w:rsidR="008445DC" w:rsidRDefault="008445DC" w:rsidP="00890E8A">
      <w:pPr>
        <w:spacing w:line="480" w:lineRule="auto"/>
      </w:pPr>
      <w:r w:rsidRPr="00564002">
        <w:lastRenderedPageBreak/>
        <w:t>The prevalence of PD in England was set as 50% in our baseline model, based on NHS Dental estimates [</w:t>
      </w:r>
      <w:r>
        <w:t>33</w:t>
      </w:r>
      <w:r w:rsidRPr="00564002">
        <w:t>]. Dementia onset probability and death resulting from PD was sourced from large national studies calculating risk of incident dementia and death [</w:t>
      </w:r>
      <w:r>
        <w:t>34</w:t>
      </w:r>
      <w:r w:rsidRPr="00564002">
        <w:t>,</w:t>
      </w:r>
      <w:r>
        <w:t>35</w:t>
      </w:r>
      <w:r w:rsidRPr="00564002">
        <w:t>]. The alternative runs featured a PD prevalence of 25% and 75%, with risk of onset and death being held constant due to the scope of our study.</w:t>
      </w:r>
    </w:p>
    <w:p w14:paraId="2B955144" w14:textId="6EA61313" w:rsidR="00236453" w:rsidRPr="00564002" w:rsidRDefault="00236453" w:rsidP="00890E8A">
      <w:pPr>
        <w:spacing w:line="480" w:lineRule="auto"/>
      </w:pPr>
      <w:r>
        <w:t>The model included s</w:t>
      </w:r>
      <w:r w:rsidRPr="00564002">
        <w:t>moking status, diabetes, cerebrovascular disease and cardiovascular disease as risk factors. Whether an individual smokes, or has a history of smoking, is an established risk factor for dementia [</w:t>
      </w:r>
      <w:r w:rsidR="00FD4628">
        <w:t>36</w:t>
      </w:r>
      <w:r w:rsidRPr="00564002">
        <w:t>,</w:t>
      </w:r>
      <w:r w:rsidR="00FD4628">
        <w:t>37</w:t>
      </w:r>
      <w:r w:rsidRPr="00564002">
        <w:t>]. Sex differences in related onset have been explored, which is reflected in our model parameters [</w:t>
      </w:r>
      <w:r w:rsidR="00FD4628">
        <w:t>38</w:t>
      </w:r>
      <w:r w:rsidRPr="00564002">
        <w:t>]. Longitudinal studies have demonstrated Type 2 diabetes as a risk factor for dementia, linking chronic hyperglycaemia to damaged blood vessels in the brain and systemic inflammation and oxidative stress [</w:t>
      </w:r>
      <w:r w:rsidR="00FD4628">
        <w:t>39</w:t>
      </w:r>
      <w:r w:rsidRPr="00564002">
        <w:t>,</w:t>
      </w:r>
      <w:r w:rsidR="00FD4628">
        <w:t>40</w:t>
      </w:r>
      <w:r w:rsidRPr="00564002">
        <w:t>]. We used diabetes as a proxy for obesity related-risk as the metabolic syndrome mechanisms are significantly associated with increased dementia risk, whereas obesity individually has a minor independent effect on dementia risk or death [</w:t>
      </w:r>
      <w:r w:rsidR="00FD4628">
        <w:t>41</w:t>
      </w:r>
      <w:r w:rsidRPr="00564002">
        <w:t>]. We chose stroke and heart failure as the specific cerebrovascular and cardiovascular diseases to model, respectively. Strokes cause brain tissue damage due to interrupted blood flow, with strong evidence suggesting those with prior stroke are at a heightened risk of dementia onset [</w:t>
      </w:r>
      <w:r w:rsidR="00FD4628">
        <w:t>42</w:t>
      </w:r>
      <w:r w:rsidRPr="00564002">
        <w:t>]. Heart failure was chosen as a representative risk factor as it captures the contribution of cardiac disfunction to dementia onset and death [</w:t>
      </w:r>
      <w:r w:rsidR="00FD4628">
        <w:t>36</w:t>
      </w:r>
      <w:r w:rsidRPr="00564002">
        <w:t>]. Prevalence data for each was obtained through national survey sources [</w:t>
      </w:r>
      <w:r w:rsidR="00FD4628">
        <w:t>43</w:t>
      </w:r>
      <w:r w:rsidRPr="00564002">
        <w:t>,</w:t>
      </w:r>
      <w:r w:rsidR="00FD4628">
        <w:t>44</w:t>
      </w:r>
      <w:r w:rsidRPr="00564002">
        <w:t>,</w:t>
      </w:r>
      <w:r w:rsidR="00FD4628">
        <w:t>45</w:t>
      </w:r>
      <w:r w:rsidR="00715F7F">
        <w:t>,46</w:t>
      </w:r>
      <w:r w:rsidRPr="00564002">
        <w:t>].</w:t>
      </w:r>
      <w:r>
        <w:t xml:space="preserve"> </w:t>
      </w:r>
    </w:p>
    <w:p w14:paraId="3C68DF8A" w14:textId="77777777" w:rsidR="004877B3" w:rsidRPr="00564002" w:rsidRDefault="004877B3" w:rsidP="00890E8A">
      <w:pPr>
        <w:spacing w:line="480" w:lineRule="auto"/>
      </w:pPr>
    </w:p>
    <w:p w14:paraId="1512BA0C" w14:textId="77777777" w:rsidR="00A367D7" w:rsidRPr="00564002" w:rsidRDefault="00A367D7" w:rsidP="00890E8A">
      <w:pPr>
        <w:spacing w:line="480" w:lineRule="auto"/>
        <w:rPr>
          <w:b/>
          <w:bCs/>
        </w:rPr>
      </w:pPr>
      <w:r w:rsidRPr="00564002">
        <w:rPr>
          <w:b/>
          <w:bCs/>
        </w:rPr>
        <w:t>Estimation of costs and QALYs</w:t>
      </w:r>
    </w:p>
    <w:p w14:paraId="0A780EFE" w14:textId="439A6727" w:rsidR="00A367D7" w:rsidRPr="00564002" w:rsidRDefault="00A367D7" w:rsidP="00890E8A">
      <w:pPr>
        <w:spacing w:line="480" w:lineRule="auto"/>
      </w:pPr>
      <w:r w:rsidRPr="00564002">
        <w:lastRenderedPageBreak/>
        <w:t xml:space="preserve">We estimated the economic costs of dementia for the NHS and informal caregivers. </w:t>
      </w:r>
      <w:r>
        <w:t xml:space="preserve">Table X shows the yearly costs used. </w:t>
      </w:r>
      <w:r w:rsidRPr="00564002">
        <w:t>Costing data was sourced from a 2024 report on dementia and deflated down to 2023 prices [</w:t>
      </w:r>
      <w:r>
        <w:t>47</w:t>
      </w:r>
      <w:r w:rsidRPr="00564002">
        <w:t xml:space="preserve">, </w:t>
      </w:r>
      <w:r>
        <w:t>48</w:t>
      </w:r>
      <w:r w:rsidRPr="00564002">
        <w:t xml:space="preserve">]. These included healthcare, social care, unpaid care and quality of life costs, which we separated into costs for dementia patients in home or institution care. </w:t>
      </w:r>
      <w:r w:rsidRPr="003C21B1">
        <w:t>This allowed direct comparison of costs under differing PD prevalences and alignment with other dementia-modelling studies.</w:t>
      </w:r>
      <w:r>
        <w:t xml:space="preserve"> </w:t>
      </w:r>
    </w:p>
    <w:p w14:paraId="6A1E7B44" w14:textId="2D33B22D" w:rsidR="000264DA" w:rsidRPr="00F77019" w:rsidRDefault="000264DA" w:rsidP="00890E8A">
      <w:pPr>
        <w:spacing w:line="480" w:lineRule="auto"/>
      </w:pPr>
      <w:r w:rsidRPr="00564002">
        <w:t>QALYs are commonly used to value the benefit of interventions, with one QALY equating a year of life in perfect health [</w:t>
      </w:r>
      <w:r>
        <w:t>49</w:t>
      </w:r>
      <w:r w:rsidRPr="00564002">
        <w:t>]. This means years of life can take into account the quality and quantity of life. Dementia stage specific QALY utility values were obtained from a previous study modelling the benefits of population-level interventions for dementia risk factors [</w:t>
      </w:r>
      <w:r w:rsidR="00EC4EF4">
        <w:t>50</w:t>
      </w:r>
      <w:r w:rsidRPr="00564002">
        <w:t>]. Age specific utility values for cognitively normal were taken from the UK Population Norms for EQ-5D [</w:t>
      </w:r>
      <w:r w:rsidR="00EC4EF4">
        <w:t>51</w:t>
      </w:r>
      <w:r w:rsidRPr="00564002">
        <w:t>]. An informal caregiver for someone with dementia will also see their quality of life affected due to the strain of care, therefore, we calculated the QALYs for all informal caregivers in the model. These utility values were attained from literature assessing the impact of caring for people with dementia [</w:t>
      </w:r>
      <w:r w:rsidR="00EC4EF4">
        <w:t>52</w:t>
      </w:r>
      <w:r w:rsidRPr="00564002">
        <w:t>]. An annual discount rate of 3.5% was applied to both costs and QALYs as suggested by the National Institute of  Care and Excellence (NICE) and the UK Treasury [</w:t>
      </w:r>
      <w:r w:rsidR="00EC4EF4">
        <w:t>53</w:t>
      </w:r>
      <w:r w:rsidRPr="00564002">
        <w:t xml:space="preserve">]. Full methodology for the measurement of costs and QALYs can be found in the </w:t>
      </w:r>
      <w:r>
        <w:t>supplementary information</w:t>
      </w:r>
      <w:r w:rsidRPr="00564002">
        <w:t xml:space="preserve"> (</w:t>
      </w:r>
      <w:proofErr w:type="spellStart"/>
      <w:r w:rsidRPr="00564002">
        <w:t>pp.x</w:t>
      </w:r>
      <w:proofErr w:type="spellEnd"/>
      <w:r w:rsidRPr="00564002">
        <w:t xml:space="preserve">-x). </w:t>
      </w:r>
    </w:p>
    <w:tbl>
      <w:tblPr>
        <w:tblStyle w:val="TableGrid"/>
        <w:tblW w:w="9209" w:type="dxa"/>
        <w:tblLook w:val="04A0" w:firstRow="1" w:lastRow="0" w:firstColumn="1" w:lastColumn="0" w:noHBand="0" w:noVBand="1"/>
      </w:tblPr>
      <w:tblGrid>
        <w:gridCol w:w="1236"/>
        <w:gridCol w:w="1326"/>
        <w:gridCol w:w="1349"/>
        <w:gridCol w:w="1289"/>
        <w:gridCol w:w="1349"/>
        <w:gridCol w:w="1251"/>
        <w:gridCol w:w="1409"/>
      </w:tblGrid>
      <w:tr w:rsidR="000264DA" w14:paraId="4F86F7B6" w14:textId="77777777" w:rsidTr="00D6723D">
        <w:tc>
          <w:tcPr>
            <w:tcW w:w="1247" w:type="dxa"/>
          </w:tcPr>
          <w:p w14:paraId="2E6BDB7C" w14:textId="77777777" w:rsidR="000264DA" w:rsidRDefault="000264DA" w:rsidP="00890E8A">
            <w:pPr>
              <w:spacing w:line="480" w:lineRule="auto"/>
              <w:rPr>
                <w:b/>
                <w:bCs/>
              </w:rPr>
            </w:pPr>
          </w:p>
        </w:tc>
        <w:tc>
          <w:tcPr>
            <w:tcW w:w="1336" w:type="dxa"/>
          </w:tcPr>
          <w:p w14:paraId="7AD00094" w14:textId="77777777" w:rsidR="000264DA" w:rsidRDefault="000264DA" w:rsidP="00890E8A">
            <w:pPr>
              <w:spacing w:line="480" w:lineRule="auto"/>
              <w:rPr>
                <w:b/>
                <w:bCs/>
              </w:rPr>
            </w:pPr>
            <w:r>
              <w:rPr>
                <w:b/>
                <w:bCs/>
              </w:rPr>
              <w:t>Mild</w:t>
            </w:r>
          </w:p>
        </w:tc>
        <w:tc>
          <w:tcPr>
            <w:tcW w:w="1349" w:type="dxa"/>
          </w:tcPr>
          <w:p w14:paraId="18B33A7C" w14:textId="77777777" w:rsidR="000264DA" w:rsidRDefault="000264DA" w:rsidP="00890E8A">
            <w:pPr>
              <w:spacing w:line="480" w:lineRule="auto"/>
              <w:rPr>
                <w:b/>
                <w:bCs/>
              </w:rPr>
            </w:pPr>
          </w:p>
        </w:tc>
        <w:tc>
          <w:tcPr>
            <w:tcW w:w="1294" w:type="dxa"/>
          </w:tcPr>
          <w:p w14:paraId="2ED75F52" w14:textId="77777777" w:rsidR="000264DA" w:rsidRDefault="000264DA" w:rsidP="00890E8A">
            <w:pPr>
              <w:spacing w:line="480" w:lineRule="auto"/>
              <w:rPr>
                <w:b/>
                <w:bCs/>
              </w:rPr>
            </w:pPr>
            <w:r>
              <w:rPr>
                <w:b/>
                <w:bCs/>
              </w:rPr>
              <w:t>Moderate</w:t>
            </w:r>
          </w:p>
        </w:tc>
        <w:tc>
          <w:tcPr>
            <w:tcW w:w="1349" w:type="dxa"/>
          </w:tcPr>
          <w:p w14:paraId="17709014" w14:textId="77777777" w:rsidR="000264DA" w:rsidRDefault="000264DA" w:rsidP="00890E8A">
            <w:pPr>
              <w:spacing w:line="480" w:lineRule="auto"/>
              <w:rPr>
                <w:b/>
                <w:bCs/>
              </w:rPr>
            </w:pPr>
          </w:p>
        </w:tc>
        <w:tc>
          <w:tcPr>
            <w:tcW w:w="1217" w:type="dxa"/>
          </w:tcPr>
          <w:p w14:paraId="54540716" w14:textId="77777777" w:rsidR="000264DA" w:rsidRDefault="000264DA" w:rsidP="00890E8A">
            <w:pPr>
              <w:spacing w:line="480" w:lineRule="auto"/>
              <w:rPr>
                <w:b/>
                <w:bCs/>
              </w:rPr>
            </w:pPr>
            <w:r>
              <w:rPr>
                <w:b/>
                <w:bCs/>
              </w:rPr>
              <w:t>Severe</w:t>
            </w:r>
          </w:p>
        </w:tc>
        <w:tc>
          <w:tcPr>
            <w:tcW w:w="1417" w:type="dxa"/>
          </w:tcPr>
          <w:p w14:paraId="36A0BD32" w14:textId="77777777" w:rsidR="000264DA" w:rsidRDefault="000264DA" w:rsidP="00890E8A">
            <w:pPr>
              <w:spacing w:line="480" w:lineRule="auto"/>
              <w:rPr>
                <w:b/>
                <w:bCs/>
              </w:rPr>
            </w:pPr>
          </w:p>
        </w:tc>
      </w:tr>
      <w:tr w:rsidR="000264DA" w14:paraId="0624FD83" w14:textId="77777777" w:rsidTr="00D6723D">
        <w:tc>
          <w:tcPr>
            <w:tcW w:w="1247" w:type="dxa"/>
          </w:tcPr>
          <w:p w14:paraId="07D9E513" w14:textId="77777777" w:rsidR="000264DA" w:rsidRDefault="000264DA" w:rsidP="00890E8A">
            <w:pPr>
              <w:spacing w:line="480" w:lineRule="auto"/>
              <w:rPr>
                <w:b/>
                <w:bCs/>
              </w:rPr>
            </w:pPr>
          </w:p>
        </w:tc>
        <w:tc>
          <w:tcPr>
            <w:tcW w:w="1336" w:type="dxa"/>
          </w:tcPr>
          <w:p w14:paraId="4D35C937" w14:textId="77777777" w:rsidR="000264DA" w:rsidRDefault="000264DA" w:rsidP="00890E8A">
            <w:pPr>
              <w:spacing w:line="480" w:lineRule="auto"/>
              <w:rPr>
                <w:b/>
                <w:bCs/>
              </w:rPr>
            </w:pPr>
            <w:r>
              <w:rPr>
                <w:b/>
                <w:bCs/>
              </w:rPr>
              <w:t>Home</w:t>
            </w:r>
          </w:p>
        </w:tc>
        <w:tc>
          <w:tcPr>
            <w:tcW w:w="1349" w:type="dxa"/>
          </w:tcPr>
          <w:p w14:paraId="23752F7B" w14:textId="77777777" w:rsidR="000264DA" w:rsidRDefault="000264DA" w:rsidP="00890E8A">
            <w:pPr>
              <w:spacing w:line="480" w:lineRule="auto"/>
              <w:rPr>
                <w:b/>
                <w:bCs/>
              </w:rPr>
            </w:pPr>
            <w:r>
              <w:rPr>
                <w:b/>
                <w:bCs/>
              </w:rPr>
              <w:t>Institution</w:t>
            </w:r>
          </w:p>
        </w:tc>
        <w:tc>
          <w:tcPr>
            <w:tcW w:w="1294" w:type="dxa"/>
          </w:tcPr>
          <w:p w14:paraId="61AB35C2" w14:textId="77777777" w:rsidR="000264DA" w:rsidRDefault="000264DA" w:rsidP="00890E8A">
            <w:pPr>
              <w:spacing w:line="480" w:lineRule="auto"/>
              <w:rPr>
                <w:b/>
                <w:bCs/>
              </w:rPr>
            </w:pPr>
            <w:r>
              <w:rPr>
                <w:b/>
                <w:bCs/>
              </w:rPr>
              <w:t>Home</w:t>
            </w:r>
          </w:p>
        </w:tc>
        <w:tc>
          <w:tcPr>
            <w:tcW w:w="1349" w:type="dxa"/>
          </w:tcPr>
          <w:p w14:paraId="003A3689" w14:textId="77777777" w:rsidR="000264DA" w:rsidRDefault="000264DA" w:rsidP="00890E8A">
            <w:pPr>
              <w:spacing w:line="480" w:lineRule="auto"/>
              <w:rPr>
                <w:b/>
                <w:bCs/>
              </w:rPr>
            </w:pPr>
            <w:r>
              <w:rPr>
                <w:b/>
                <w:bCs/>
              </w:rPr>
              <w:t>Institution</w:t>
            </w:r>
          </w:p>
        </w:tc>
        <w:tc>
          <w:tcPr>
            <w:tcW w:w="1217" w:type="dxa"/>
          </w:tcPr>
          <w:p w14:paraId="544ADE31" w14:textId="77777777" w:rsidR="000264DA" w:rsidRDefault="000264DA" w:rsidP="00890E8A">
            <w:pPr>
              <w:spacing w:line="480" w:lineRule="auto"/>
              <w:rPr>
                <w:b/>
                <w:bCs/>
              </w:rPr>
            </w:pPr>
            <w:r>
              <w:rPr>
                <w:b/>
                <w:bCs/>
              </w:rPr>
              <w:t>Home</w:t>
            </w:r>
          </w:p>
        </w:tc>
        <w:tc>
          <w:tcPr>
            <w:tcW w:w="1417" w:type="dxa"/>
          </w:tcPr>
          <w:p w14:paraId="573ACF06" w14:textId="77777777" w:rsidR="000264DA" w:rsidRDefault="000264DA" w:rsidP="00890E8A">
            <w:pPr>
              <w:spacing w:line="480" w:lineRule="auto"/>
              <w:rPr>
                <w:b/>
                <w:bCs/>
              </w:rPr>
            </w:pPr>
            <w:r>
              <w:rPr>
                <w:b/>
                <w:bCs/>
              </w:rPr>
              <w:t>Institution</w:t>
            </w:r>
          </w:p>
        </w:tc>
      </w:tr>
      <w:tr w:rsidR="000264DA" w14:paraId="3F6B520C" w14:textId="77777777" w:rsidTr="00D6723D">
        <w:tc>
          <w:tcPr>
            <w:tcW w:w="1247" w:type="dxa"/>
          </w:tcPr>
          <w:p w14:paraId="541E4662" w14:textId="77777777" w:rsidR="000264DA" w:rsidRDefault="000264DA" w:rsidP="00890E8A">
            <w:pPr>
              <w:spacing w:line="480" w:lineRule="auto"/>
              <w:rPr>
                <w:b/>
                <w:bCs/>
              </w:rPr>
            </w:pPr>
            <w:r>
              <w:rPr>
                <w:b/>
                <w:bCs/>
              </w:rPr>
              <w:t xml:space="preserve">NHS </w:t>
            </w:r>
          </w:p>
        </w:tc>
        <w:tc>
          <w:tcPr>
            <w:tcW w:w="1336" w:type="dxa"/>
          </w:tcPr>
          <w:p w14:paraId="287EF57F" w14:textId="77777777" w:rsidR="000264DA" w:rsidRPr="00B20DEC" w:rsidRDefault="000264DA" w:rsidP="00890E8A">
            <w:pPr>
              <w:spacing w:line="480" w:lineRule="auto"/>
            </w:pPr>
            <w:r w:rsidRPr="00B20DEC">
              <w:t>7,466.70</w:t>
            </w:r>
          </w:p>
        </w:tc>
        <w:tc>
          <w:tcPr>
            <w:tcW w:w="1349" w:type="dxa"/>
          </w:tcPr>
          <w:p w14:paraId="299CBF16" w14:textId="77777777" w:rsidR="000264DA" w:rsidRPr="00B20DEC" w:rsidRDefault="000264DA" w:rsidP="00890E8A">
            <w:pPr>
              <w:spacing w:line="480" w:lineRule="auto"/>
            </w:pPr>
            <w:r>
              <w:t>23,144.27</w:t>
            </w:r>
          </w:p>
        </w:tc>
        <w:tc>
          <w:tcPr>
            <w:tcW w:w="1294" w:type="dxa"/>
          </w:tcPr>
          <w:p w14:paraId="7D5B8070" w14:textId="77777777" w:rsidR="000264DA" w:rsidRPr="00B20DEC" w:rsidRDefault="000264DA" w:rsidP="00890E8A">
            <w:pPr>
              <w:spacing w:line="480" w:lineRule="auto"/>
            </w:pPr>
            <w:r>
              <w:t>7,180.18</w:t>
            </w:r>
          </w:p>
        </w:tc>
        <w:tc>
          <w:tcPr>
            <w:tcW w:w="1349" w:type="dxa"/>
          </w:tcPr>
          <w:p w14:paraId="3A5B3389" w14:textId="77777777" w:rsidR="000264DA" w:rsidRPr="00B20DEC" w:rsidRDefault="000264DA" w:rsidP="00890E8A">
            <w:pPr>
              <w:spacing w:line="480" w:lineRule="auto"/>
            </w:pPr>
            <w:r>
              <w:t>15,552.58</w:t>
            </w:r>
          </w:p>
        </w:tc>
        <w:tc>
          <w:tcPr>
            <w:tcW w:w="1217" w:type="dxa"/>
          </w:tcPr>
          <w:p w14:paraId="57D4E982" w14:textId="77777777" w:rsidR="000264DA" w:rsidRPr="00B20DEC" w:rsidRDefault="000264DA" w:rsidP="00890E8A">
            <w:pPr>
              <w:spacing w:line="480" w:lineRule="auto"/>
            </w:pPr>
            <w:r>
              <w:t>7,668.60</w:t>
            </w:r>
          </w:p>
        </w:tc>
        <w:tc>
          <w:tcPr>
            <w:tcW w:w="1417" w:type="dxa"/>
          </w:tcPr>
          <w:p w14:paraId="1E0EF8CB" w14:textId="77777777" w:rsidR="000264DA" w:rsidRPr="00B20DEC" w:rsidRDefault="000264DA" w:rsidP="00890E8A">
            <w:pPr>
              <w:spacing w:line="480" w:lineRule="auto"/>
            </w:pPr>
            <w:r>
              <w:t>53,084.13</w:t>
            </w:r>
          </w:p>
        </w:tc>
      </w:tr>
      <w:tr w:rsidR="000264DA" w14:paraId="72CAF2E4" w14:textId="77777777" w:rsidTr="00D6723D">
        <w:tc>
          <w:tcPr>
            <w:tcW w:w="1247" w:type="dxa"/>
          </w:tcPr>
          <w:p w14:paraId="13376915" w14:textId="77777777" w:rsidR="000264DA" w:rsidRDefault="000264DA" w:rsidP="00890E8A">
            <w:pPr>
              <w:spacing w:line="480" w:lineRule="auto"/>
              <w:rPr>
                <w:b/>
                <w:bCs/>
              </w:rPr>
            </w:pPr>
            <w:r>
              <w:rPr>
                <w:b/>
                <w:bCs/>
              </w:rPr>
              <w:t>Informal</w:t>
            </w:r>
          </w:p>
        </w:tc>
        <w:tc>
          <w:tcPr>
            <w:tcW w:w="1336" w:type="dxa"/>
          </w:tcPr>
          <w:p w14:paraId="4FC7127C" w14:textId="77777777" w:rsidR="000264DA" w:rsidRPr="00B20DEC" w:rsidRDefault="000264DA" w:rsidP="00890E8A">
            <w:pPr>
              <w:spacing w:line="480" w:lineRule="auto"/>
            </w:pPr>
            <w:r>
              <w:t>10,189.55</w:t>
            </w:r>
          </w:p>
        </w:tc>
        <w:tc>
          <w:tcPr>
            <w:tcW w:w="1349" w:type="dxa"/>
          </w:tcPr>
          <w:p w14:paraId="231D004E" w14:textId="77777777" w:rsidR="000264DA" w:rsidRPr="00B20DEC" w:rsidRDefault="000264DA" w:rsidP="00890E8A">
            <w:pPr>
              <w:spacing w:line="480" w:lineRule="auto"/>
            </w:pPr>
            <w:r>
              <w:t>874.93</w:t>
            </w:r>
          </w:p>
        </w:tc>
        <w:tc>
          <w:tcPr>
            <w:tcW w:w="1294" w:type="dxa"/>
          </w:tcPr>
          <w:p w14:paraId="2AA18156" w14:textId="77777777" w:rsidR="000264DA" w:rsidRPr="00B20DEC" w:rsidRDefault="000264DA" w:rsidP="00890E8A">
            <w:pPr>
              <w:spacing w:line="480" w:lineRule="auto"/>
            </w:pPr>
            <w:r>
              <w:t>33,726.09</w:t>
            </w:r>
          </w:p>
        </w:tc>
        <w:tc>
          <w:tcPr>
            <w:tcW w:w="1349" w:type="dxa"/>
          </w:tcPr>
          <w:p w14:paraId="10EB8148" w14:textId="77777777" w:rsidR="000264DA" w:rsidRPr="00B20DEC" w:rsidRDefault="000264DA" w:rsidP="00890E8A">
            <w:pPr>
              <w:spacing w:line="480" w:lineRule="auto"/>
            </w:pPr>
            <w:r>
              <w:t>1,643.14</w:t>
            </w:r>
          </w:p>
        </w:tc>
        <w:tc>
          <w:tcPr>
            <w:tcW w:w="1217" w:type="dxa"/>
          </w:tcPr>
          <w:p w14:paraId="35CB741C" w14:textId="77777777" w:rsidR="000264DA" w:rsidRPr="00B20DEC" w:rsidRDefault="000264DA" w:rsidP="00890E8A">
            <w:pPr>
              <w:spacing w:line="480" w:lineRule="auto"/>
            </w:pPr>
            <w:r>
              <w:t>31,523.39</w:t>
            </w:r>
          </w:p>
        </w:tc>
        <w:tc>
          <w:tcPr>
            <w:tcW w:w="1417" w:type="dxa"/>
          </w:tcPr>
          <w:p w14:paraId="59321E8D" w14:textId="77777777" w:rsidR="000264DA" w:rsidRPr="00B20DEC" w:rsidRDefault="000264DA" w:rsidP="00890E8A">
            <w:pPr>
              <w:spacing w:line="480" w:lineRule="auto"/>
            </w:pPr>
            <w:r>
              <w:t>501.88</w:t>
            </w:r>
          </w:p>
        </w:tc>
      </w:tr>
    </w:tbl>
    <w:p w14:paraId="6ED515B4" w14:textId="77777777" w:rsidR="000264DA" w:rsidRPr="006B50FD" w:rsidRDefault="000264DA" w:rsidP="00890E8A">
      <w:pPr>
        <w:spacing w:line="480" w:lineRule="auto"/>
      </w:pPr>
      <w:r>
        <w:rPr>
          <w:b/>
          <w:bCs/>
        </w:rPr>
        <w:lastRenderedPageBreak/>
        <w:t xml:space="preserve">Table X </w:t>
      </w:r>
      <w:r>
        <w:t>Yearly costs by dementia stage by living setting (£)</w:t>
      </w:r>
    </w:p>
    <w:p w14:paraId="00BC4943" w14:textId="77777777" w:rsidR="00A13A7A" w:rsidRDefault="00A13A7A" w:rsidP="00890E8A">
      <w:pPr>
        <w:spacing w:line="480" w:lineRule="auto"/>
        <w:rPr>
          <w:b/>
          <w:bCs/>
        </w:rPr>
      </w:pPr>
    </w:p>
    <w:p w14:paraId="667BCA97" w14:textId="77777777" w:rsidR="00890E8A" w:rsidRPr="00564002" w:rsidRDefault="00890E8A" w:rsidP="00890E8A">
      <w:pPr>
        <w:spacing w:line="480" w:lineRule="auto"/>
        <w:rPr>
          <w:b/>
          <w:bCs/>
        </w:rPr>
      </w:pPr>
      <w:r w:rsidRPr="00564002">
        <w:rPr>
          <w:b/>
          <w:bCs/>
        </w:rPr>
        <w:t>Outcomes</w:t>
      </w:r>
    </w:p>
    <w:p w14:paraId="3617E6E3" w14:textId="77777777" w:rsidR="00890E8A" w:rsidRPr="00564002" w:rsidRDefault="00890E8A" w:rsidP="00890E8A">
      <w:pPr>
        <w:spacing w:line="480" w:lineRule="auto"/>
      </w:pPr>
      <w:r>
        <w:t>Differences in i</w:t>
      </w:r>
      <w:r w:rsidRPr="00564002">
        <w:t xml:space="preserve">ncidence </w:t>
      </w:r>
      <w:r>
        <w:t>and prevalence trends</w:t>
      </w:r>
      <w:r w:rsidRPr="00564002">
        <w:t xml:space="preserve"> over time </w:t>
      </w:r>
      <w:r>
        <w:t>were</w:t>
      </w:r>
      <w:r w:rsidRPr="00564002">
        <w:t xml:space="preserve"> calculated, and the incident dementia </w:t>
      </w:r>
      <w:r>
        <w:t xml:space="preserve">due to PD </w:t>
      </w:r>
      <w:r w:rsidRPr="00564002">
        <w:t xml:space="preserve">at each prevalence level </w:t>
      </w:r>
      <w:r>
        <w:t>was</w:t>
      </w:r>
      <w:r w:rsidRPr="00564002">
        <w:t xml:space="preserve"> analysed. The model simulated the economic costs and QALYs for dementia patients either in home care, which included the effects on their informal caregivers, or </w:t>
      </w:r>
      <w:r>
        <w:t>to the NHS</w:t>
      </w:r>
      <w:r w:rsidRPr="00564002">
        <w:t xml:space="preserve">. Using the three different PD prevalence cases, we estimate the QALYs gained and </w:t>
      </w:r>
      <w:r>
        <w:t>cost-savings</w:t>
      </w:r>
      <w:r w:rsidRPr="00564002">
        <w:t xml:space="preserve"> of reducing PD disease. </w:t>
      </w:r>
      <w:r>
        <w:t xml:space="preserve">We report the cumulative number of new cases of dementia and deaths in each scenario, providing estimates of the deaths avoided given different PD prevalence trends. </w:t>
      </w:r>
    </w:p>
    <w:p w14:paraId="4E0158BF" w14:textId="77777777" w:rsidR="00890E8A" w:rsidRPr="00564002" w:rsidRDefault="00890E8A" w:rsidP="00890E8A">
      <w:pPr>
        <w:spacing w:line="480" w:lineRule="auto"/>
        <w:rPr>
          <w:b/>
          <w:bCs/>
        </w:rPr>
      </w:pPr>
    </w:p>
    <w:p w14:paraId="24B67FC4" w14:textId="77777777" w:rsidR="00890E8A" w:rsidRPr="00564002" w:rsidRDefault="00890E8A" w:rsidP="00890E8A">
      <w:pPr>
        <w:spacing w:line="480" w:lineRule="auto"/>
        <w:rPr>
          <w:b/>
          <w:bCs/>
        </w:rPr>
      </w:pPr>
      <w:r w:rsidRPr="00564002">
        <w:rPr>
          <w:b/>
          <w:bCs/>
        </w:rPr>
        <w:t>Sensitivity analysis</w:t>
      </w:r>
    </w:p>
    <w:p w14:paraId="085036A8" w14:textId="6492B49E" w:rsidR="00890E8A" w:rsidRDefault="00890E8A" w:rsidP="00890E8A">
      <w:pPr>
        <w:spacing w:line="480" w:lineRule="auto"/>
      </w:pPr>
      <w:r w:rsidRPr="00BB3A63">
        <w:t>We conducted probabilistic sensitivity analysis (PSA) with 1,000 Monte Carlo iterations, sampling uncertain parameters from probability distributions (beta for proportions, gamma for costs</w:t>
      </w:r>
      <w:r>
        <w:t xml:space="preserve"> and </w:t>
      </w:r>
      <w:r w:rsidRPr="00BB3A63">
        <w:t>utilities; relative SD = 10%). Given the model's computational intensity, we employed the efficient two-level nested design of O'Hagan et al. (2007)</w:t>
      </w:r>
      <w:r>
        <w:t xml:space="preserve"> [</w:t>
      </w:r>
      <w:r>
        <w:t>54</w:t>
      </w:r>
      <w:r>
        <w:t>]</w:t>
      </w:r>
      <w:r w:rsidRPr="00BB3A63">
        <w:t xml:space="preserve">, which uses variance decomposition to determine the optimal population size per iteration that minimizes Monte Carlo noise while maintaining computational feasibility. A pilot </w:t>
      </w:r>
      <w:r>
        <w:t>run</w:t>
      </w:r>
      <w:r w:rsidRPr="00BB3A63">
        <w:t xml:space="preserve"> established that n = [INSERT OPTIMAL N] individuals per iteration was sufficient to accurately estimate 95% confidence intervals for key outcomes. Results are reported as means with 95% confidence intervals</w:t>
      </w:r>
      <w:r>
        <w:t xml:space="preserve">. </w:t>
      </w:r>
    </w:p>
    <w:p w14:paraId="3246F632" w14:textId="77777777" w:rsidR="00F34B31" w:rsidRDefault="00F34B31" w:rsidP="00890E8A">
      <w:pPr>
        <w:spacing w:line="480" w:lineRule="auto"/>
        <w:rPr>
          <w:b/>
          <w:bCs/>
        </w:rPr>
      </w:pPr>
    </w:p>
    <w:p w14:paraId="5C1B69F3" w14:textId="77777777" w:rsidR="00F34B31" w:rsidRDefault="00F34B31" w:rsidP="00890E8A">
      <w:pPr>
        <w:spacing w:line="480" w:lineRule="auto"/>
        <w:rPr>
          <w:b/>
          <w:bCs/>
        </w:rPr>
      </w:pPr>
    </w:p>
    <w:p w14:paraId="32260167" w14:textId="77777777" w:rsidR="0086705D" w:rsidRPr="00511962" w:rsidRDefault="0086705D" w:rsidP="00890E8A">
      <w:pPr>
        <w:spacing w:line="480" w:lineRule="auto"/>
        <w:rPr>
          <w:b/>
          <w:bCs/>
        </w:rPr>
      </w:pPr>
      <w:r w:rsidRPr="00511962">
        <w:rPr>
          <w:b/>
          <w:bCs/>
        </w:rPr>
        <w:t>References</w:t>
      </w:r>
    </w:p>
    <w:p w14:paraId="7710879C" w14:textId="77777777" w:rsidR="0086705D" w:rsidRPr="00511962" w:rsidRDefault="0086705D" w:rsidP="00890E8A">
      <w:pPr>
        <w:spacing w:line="480" w:lineRule="auto"/>
      </w:pPr>
      <w:r w:rsidRPr="00511962">
        <w:t xml:space="preserve">[1] Office for Health Improvement and Disparities. </w:t>
      </w:r>
      <w:r w:rsidRPr="00511962">
        <w:rPr>
          <w:i/>
          <w:iCs/>
        </w:rPr>
        <w:t>Adult Oral Health Survey 2021: a report on the main findings of the 2021 Adult Oral Health Survey.</w:t>
      </w:r>
      <w:r w:rsidRPr="00511962">
        <w:t xml:space="preserve"> London: Office for Health Improvement and Disparities; 2024 Jan 25. Available from: </w:t>
      </w:r>
      <w:hyperlink r:id="rId4" w:history="1">
        <w:r w:rsidRPr="00511962">
          <w:rPr>
            <w:rStyle w:val="Hyperlink"/>
          </w:rPr>
          <w:t>https://www.gov.uk/government/statistics/adult-oral-health-survey-2021</w:t>
        </w:r>
      </w:hyperlink>
      <w:r w:rsidRPr="00511962">
        <w:t xml:space="preserve"> </w:t>
      </w:r>
    </w:p>
    <w:p w14:paraId="502F588B" w14:textId="77777777" w:rsidR="0086705D" w:rsidRPr="00511962" w:rsidRDefault="0086705D" w:rsidP="00890E8A">
      <w:pPr>
        <w:spacing w:line="480" w:lineRule="auto"/>
      </w:pPr>
      <w:r w:rsidRPr="00511962">
        <w:t xml:space="preserve">[2] World Health Organization. </w:t>
      </w:r>
      <w:r w:rsidRPr="00511962">
        <w:rPr>
          <w:i/>
          <w:iCs/>
        </w:rPr>
        <w:t>Global oral health status report: towards universal health coverage for oral health by 2030.</w:t>
      </w:r>
      <w:r w:rsidRPr="00511962">
        <w:t xml:space="preserve"> Geneva: World Health Organization; 2022.</w:t>
      </w:r>
    </w:p>
    <w:p w14:paraId="4364A37D" w14:textId="77777777" w:rsidR="0086705D" w:rsidRPr="00511962" w:rsidRDefault="0086705D" w:rsidP="00890E8A">
      <w:pPr>
        <w:spacing w:line="480" w:lineRule="auto"/>
      </w:pPr>
      <w:r w:rsidRPr="00511962">
        <w:t xml:space="preserve">[3] United Nations Department of Economic and Social Affairs, Population Division. </w:t>
      </w:r>
      <w:r w:rsidRPr="00511962">
        <w:rPr>
          <w:i/>
          <w:iCs/>
        </w:rPr>
        <w:t>World population prospects.</w:t>
      </w:r>
      <w:r w:rsidRPr="00511962">
        <w:t xml:space="preserve"> 2022 [Accessed October 21 2025]. Available from: </w:t>
      </w:r>
      <w:hyperlink r:id="rId5" w:history="1">
        <w:r w:rsidRPr="00511962">
          <w:rPr>
            <w:rStyle w:val="Hyperlink"/>
          </w:rPr>
          <w:t>https://population.un.org/wpp/Download/Standard/Population/</w:t>
        </w:r>
      </w:hyperlink>
    </w:p>
    <w:p w14:paraId="06E0C7D5" w14:textId="77777777" w:rsidR="0086705D" w:rsidRDefault="0086705D" w:rsidP="00890E8A">
      <w:pPr>
        <w:spacing w:line="480" w:lineRule="auto"/>
      </w:pPr>
      <w:r w:rsidRPr="00511962">
        <w:t xml:space="preserve">[4] Elamin A, Ansah JP. Projecting the burden of dental caries and periodontal diseases among the adult population in the United Kingdom using a multi-state population model. </w:t>
      </w:r>
      <w:r w:rsidRPr="00511962">
        <w:rPr>
          <w:i/>
          <w:iCs/>
        </w:rPr>
        <w:t>Front Public Health</w:t>
      </w:r>
      <w:r w:rsidRPr="00511962">
        <w:t>. 2023;11:1190197. doi:10.3389/fpubh.2023.1190197</w:t>
      </w:r>
    </w:p>
    <w:p w14:paraId="785EEC8D" w14:textId="77777777" w:rsidR="0086705D" w:rsidRDefault="0086705D" w:rsidP="00890E8A">
      <w:pPr>
        <w:spacing w:line="480" w:lineRule="auto"/>
      </w:pPr>
      <w:r>
        <w:t xml:space="preserve">[5] </w:t>
      </w:r>
      <w:r w:rsidRPr="0092041F">
        <w:t xml:space="preserve">Pazos P, Leira Y, Domínguez C, </w:t>
      </w:r>
      <w:proofErr w:type="spellStart"/>
      <w:r w:rsidRPr="0092041F">
        <w:t>Pías-Peleteiro</w:t>
      </w:r>
      <w:proofErr w:type="spellEnd"/>
      <w:r w:rsidRPr="0092041F">
        <w:t xml:space="preserve"> JM, Blanco J, </w:t>
      </w:r>
      <w:proofErr w:type="spellStart"/>
      <w:r w:rsidRPr="0092041F">
        <w:t>Aldrey</w:t>
      </w:r>
      <w:proofErr w:type="spellEnd"/>
      <w:r w:rsidRPr="0092041F">
        <w:t xml:space="preserve"> JM. Association between periodontal disease and dementia: a literature review. </w:t>
      </w:r>
      <w:proofErr w:type="spellStart"/>
      <w:r w:rsidRPr="0092041F">
        <w:rPr>
          <w:i/>
          <w:iCs/>
        </w:rPr>
        <w:t>Neurologia</w:t>
      </w:r>
      <w:proofErr w:type="spellEnd"/>
      <w:r w:rsidRPr="0092041F">
        <w:rPr>
          <w:i/>
          <w:iCs/>
        </w:rPr>
        <w:t xml:space="preserve"> (Engl Ed)</w:t>
      </w:r>
      <w:r w:rsidRPr="0092041F">
        <w:t>. 2018;33(9):602–613. doi:10.1016/j.nrleng.2016.09.017</w:t>
      </w:r>
    </w:p>
    <w:p w14:paraId="6CA5C393" w14:textId="77777777" w:rsidR="0086705D" w:rsidRDefault="0086705D" w:rsidP="00890E8A">
      <w:pPr>
        <w:spacing w:line="480" w:lineRule="auto"/>
      </w:pPr>
      <w:r>
        <w:t xml:space="preserve">[6] </w:t>
      </w:r>
      <w:r w:rsidRPr="00F12D31">
        <w:t xml:space="preserve">Nadim R, Tang J, </w:t>
      </w:r>
      <w:proofErr w:type="spellStart"/>
      <w:r w:rsidRPr="00F12D31">
        <w:t>Dilmohamed</w:t>
      </w:r>
      <w:proofErr w:type="spellEnd"/>
      <w:r w:rsidRPr="00F12D31">
        <w:t xml:space="preserve"> A, Yuan S, Wu C, Bakre AT, Partridge M, Ni J, Copeland JR, Anstey KJ, Chen R. Influence of periodontal disease on risk of dementia. </w:t>
      </w:r>
      <w:r w:rsidRPr="00F12D31">
        <w:rPr>
          <w:i/>
          <w:iCs/>
        </w:rPr>
        <w:t>European journal of epidemiology</w:t>
      </w:r>
      <w:r w:rsidRPr="00F12D31">
        <w:t>. 2020;35(9):821-33.</w:t>
      </w:r>
    </w:p>
    <w:p w14:paraId="2E4CBD0A" w14:textId="77777777" w:rsidR="0086705D" w:rsidRDefault="0086705D" w:rsidP="00890E8A">
      <w:pPr>
        <w:spacing w:line="480" w:lineRule="auto"/>
      </w:pPr>
      <w:r>
        <w:lastRenderedPageBreak/>
        <w:t xml:space="preserve">[7] </w:t>
      </w:r>
      <w:r w:rsidRPr="00327A74">
        <w:t xml:space="preserve">Watts A, Crimmins EM, Gatz M. Inflammation as a potential mediator for the association between periodontal disease and Alzheimer’s disease. </w:t>
      </w:r>
      <w:proofErr w:type="spellStart"/>
      <w:r w:rsidRPr="00327A74">
        <w:rPr>
          <w:i/>
          <w:iCs/>
        </w:rPr>
        <w:t>Neuropsychiatr</w:t>
      </w:r>
      <w:proofErr w:type="spellEnd"/>
      <w:r w:rsidRPr="00327A74">
        <w:rPr>
          <w:i/>
          <w:iCs/>
        </w:rPr>
        <w:t xml:space="preserve"> Dis Treat</w:t>
      </w:r>
      <w:r w:rsidRPr="00327A74">
        <w:t>. 2008;4(5):865–876. doi:10.2147/ndt.s3610</w:t>
      </w:r>
    </w:p>
    <w:p w14:paraId="50FCEBFE" w14:textId="77777777" w:rsidR="0086705D" w:rsidRDefault="0086705D" w:rsidP="00890E8A">
      <w:pPr>
        <w:spacing w:line="480" w:lineRule="auto"/>
      </w:pPr>
      <w:r>
        <w:t xml:space="preserve">[8] </w:t>
      </w:r>
      <w:r w:rsidRPr="00163E0F">
        <w:t xml:space="preserve">Carter CJ, France J, Crean S, </w:t>
      </w:r>
      <w:proofErr w:type="spellStart"/>
      <w:r w:rsidRPr="00163E0F">
        <w:t>Singhrao</w:t>
      </w:r>
      <w:proofErr w:type="spellEnd"/>
      <w:r w:rsidRPr="00163E0F">
        <w:t xml:space="preserve"> SK. The Porphyromonas gingivalis/host interactome shows enrichment in </w:t>
      </w:r>
      <w:proofErr w:type="spellStart"/>
      <w:r w:rsidRPr="00163E0F">
        <w:t>GWASdb</w:t>
      </w:r>
      <w:proofErr w:type="spellEnd"/>
      <w:r w:rsidRPr="00163E0F">
        <w:t xml:space="preserve"> genes related to Alzheimer’s disease, diabetes and cardiovascular diseases. </w:t>
      </w:r>
      <w:r w:rsidRPr="00163E0F">
        <w:rPr>
          <w:i/>
          <w:iCs/>
        </w:rPr>
        <w:t xml:space="preserve">Front Aging </w:t>
      </w:r>
      <w:proofErr w:type="spellStart"/>
      <w:r w:rsidRPr="00163E0F">
        <w:rPr>
          <w:i/>
          <w:iCs/>
        </w:rPr>
        <w:t>Neurosci</w:t>
      </w:r>
      <w:proofErr w:type="spellEnd"/>
      <w:r w:rsidRPr="00163E0F">
        <w:t>. 2017;9:408. doi:10.3389/fnagi.2017.00408</w:t>
      </w:r>
    </w:p>
    <w:p w14:paraId="11F6546E" w14:textId="77777777" w:rsidR="0086705D" w:rsidRDefault="0086705D" w:rsidP="00890E8A">
      <w:pPr>
        <w:spacing w:line="480" w:lineRule="auto"/>
      </w:pPr>
      <w:r>
        <w:t xml:space="preserve">[9] </w:t>
      </w:r>
      <w:r w:rsidRPr="00BA0B26">
        <w:t xml:space="preserve">Borsa L, Dubois M, Sacco G, Lupi L. Analysis of the link between periodontal diseases and Alzheimer’s disease: a systematic review. </w:t>
      </w:r>
      <w:r w:rsidRPr="00BA0B26">
        <w:rPr>
          <w:i/>
          <w:iCs/>
        </w:rPr>
        <w:t>Int J Environ Res Public Health</w:t>
      </w:r>
      <w:r w:rsidRPr="00BA0B26">
        <w:t>. 2021;18(17):9312. doi:10.3390/ijerph18179312</w:t>
      </w:r>
    </w:p>
    <w:p w14:paraId="3211BBAE" w14:textId="77777777" w:rsidR="0086705D" w:rsidRDefault="0086705D" w:rsidP="00890E8A">
      <w:pPr>
        <w:spacing w:line="480" w:lineRule="auto"/>
      </w:pPr>
      <w:r>
        <w:t xml:space="preserve">[10] </w:t>
      </w:r>
      <w:proofErr w:type="spellStart"/>
      <w:r w:rsidRPr="008C2D4C">
        <w:t>Dibello</w:t>
      </w:r>
      <w:proofErr w:type="spellEnd"/>
      <w:r w:rsidRPr="008C2D4C">
        <w:t xml:space="preserve"> V, </w:t>
      </w:r>
      <w:proofErr w:type="spellStart"/>
      <w:r w:rsidRPr="008C2D4C">
        <w:t>Custodero</w:t>
      </w:r>
      <w:proofErr w:type="spellEnd"/>
      <w:r w:rsidRPr="008C2D4C">
        <w:t xml:space="preserve"> C, Cavalcanti R, </w:t>
      </w:r>
      <w:proofErr w:type="spellStart"/>
      <w:r w:rsidRPr="008C2D4C">
        <w:t>Lafornara</w:t>
      </w:r>
      <w:proofErr w:type="spellEnd"/>
      <w:r w:rsidRPr="008C2D4C">
        <w:t xml:space="preserve"> D, </w:t>
      </w:r>
      <w:proofErr w:type="spellStart"/>
      <w:r w:rsidRPr="008C2D4C">
        <w:t>Dibello</w:t>
      </w:r>
      <w:proofErr w:type="spellEnd"/>
      <w:r w:rsidRPr="008C2D4C">
        <w:t xml:space="preserve"> A, </w:t>
      </w:r>
      <w:proofErr w:type="spellStart"/>
      <w:r w:rsidRPr="008C2D4C">
        <w:t>Lozupone</w:t>
      </w:r>
      <w:proofErr w:type="spellEnd"/>
      <w:r w:rsidRPr="008C2D4C">
        <w:t xml:space="preserve"> M, Daniele A, </w:t>
      </w:r>
      <w:proofErr w:type="spellStart"/>
      <w:r w:rsidRPr="008C2D4C">
        <w:t>Pilotto</w:t>
      </w:r>
      <w:proofErr w:type="spellEnd"/>
      <w:r w:rsidRPr="008C2D4C">
        <w:t xml:space="preserve"> A, Panza F, </w:t>
      </w:r>
      <w:proofErr w:type="spellStart"/>
      <w:r w:rsidRPr="008C2D4C">
        <w:t>Solfrizzi</w:t>
      </w:r>
      <w:proofErr w:type="spellEnd"/>
      <w:r w:rsidRPr="008C2D4C">
        <w:t xml:space="preserve"> V. Impact of periodontal disease on cognitive disorders, dementia, and depression: a systematic review and meta-analysis. </w:t>
      </w:r>
      <w:proofErr w:type="spellStart"/>
      <w:r w:rsidRPr="008C2D4C">
        <w:rPr>
          <w:i/>
          <w:iCs/>
        </w:rPr>
        <w:t>Geroscience</w:t>
      </w:r>
      <w:proofErr w:type="spellEnd"/>
      <w:r w:rsidRPr="008C2D4C">
        <w:t>. 2024;46(5):5133–5169. doi:10.1007/s11357-024-01237-1</w:t>
      </w:r>
    </w:p>
    <w:p w14:paraId="6D59D322" w14:textId="77777777" w:rsidR="0086705D" w:rsidRPr="00EC6DC6" w:rsidRDefault="0086705D" w:rsidP="00890E8A">
      <w:pPr>
        <w:spacing w:line="480" w:lineRule="auto"/>
        <w:rPr>
          <w:lang w:val="de-DE"/>
        </w:rPr>
      </w:pPr>
      <w:r>
        <w:t xml:space="preserve">[11] </w:t>
      </w:r>
      <w:r w:rsidRPr="00A5391D">
        <w:t xml:space="preserve">Gao C, Kang J. Oral diseases are associated with cognitive decline and dementia. In: Oral microbiome: symbiosis, dysbiosis and microbiome interventions for maintaining oral and systemic health. </w:t>
      </w:r>
      <w:r w:rsidRPr="00EC6DC6">
        <w:rPr>
          <w:lang w:val="de-DE"/>
        </w:rPr>
        <w:t>2025 Mar 21. p.171–183. doi:10.1007/978-3-031-55574-7_11</w:t>
      </w:r>
    </w:p>
    <w:p w14:paraId="2A059FC9" w14:textId="77777777" w:rsidR="0086705D" w:rsidRDefault="0086705D" w:rsidP="00890E8A">
      <w:pPr>
        <w:spacing w:line="480" w:lineRule="auto"/>
      </w:pPr>
      <w:r w:rsidRPr="00D61C14">
        <w:rPr>
          <w:lang w:val="de-DE"/>
        </w:rPr>
        <w:t xml:space="preserve">[12] Schwahn C, Frenzel S, </w:t>
      </w:r>
      <w:proofErr w:type="spellStart"/>
      <w:r w:rsidRPr="00D61C14">
        <w:rPr>
          <w:lang w:val="de-DE"/>
        </w:rPr>
        <w:t>Holtfreter</w:t>
      </w:r>
      <w:proofErr w:type="spellEnd"/>
      <w:r w:rsidRPr="00D61C14">
        <w:rPr>
          <w:lang w:val="de-DE"/>
        </w:rPr>
        <w:t xml:space="preserve"> B, et al. </w:t>
      </w:r>
      <w:r w:rsidRPr="00D61C14">
        <w:t xml:space="preserve">Effect of periodontal treatment on preclinical Alzheimer’s disease—results of a trial emulation approach. </w:t>
      </w:r>
      <w:proofErr w:type="spellStart"/>
      <w:r w:rsidRPr="00D61C14">
        <w:rPr>
          <w:i/>
          <w:iCs/>
        </w:rPr>
        <w:t>Alzheimers</w:t>
      </w:r>
      <w:proofErr w:type="spellEnd"/>
      <w:r w:rsidRPr="00D61C14">
        <w:rPr>
          <w:i/>
          <w:iCs/>
        </w:rPr>
        <w:t xml:space="preserve"> Dement</w:t>
      </w:r>
      <w:r w:rsidRPr="00D61C14">
        <w:t>. 2022;18:127–141. doi:10.1002/alz.12378</w:t>
      </w:r>
    </w:p>
    <w:p w14:paraId="34CFB32B" w14:textId="77777777" w:rsidR="0086705D" w:rsidRDefault="0086705D" w:rsidP="00890E8A">
      <w:pPr>
        <w:spacing w:line="480" w:lineRule="auto"/>
      </w:pPr>
      <w:r>
        <w:lastRenderedPageBreak/>
        <w:t xml:space="preserve">[13] </w:t>
      </w:r>
      <w:r w:rsidRPr="001A4180">
        <w:t xml:space="preserve">Ho HA, Kim BR, Shin H. Association of periodontal disease treatment with mortality in patients with dementia: a population-based retrospective cohort study (2002–2018). </w:t>
      </w:r>
      <w:r w:rsidRPr="001A4180">
        <w:rPr>
          <w:i/>
          <w:iCs/>
        </w:rPr>
        <w:t>Sci Rep</w:t>
      </w:r>
      <w:r w:rsidRPr="001A4180">
        <w:t>. 2024;14:5243. doi:10.1038/s41598-024-55272-6</w:t>
      </w:r>
    </w:p>
    <w:p w14:paraId="1F194799" w14:textId="77777777" w:rsidR="0086705D" w:rsidRDefault="0086705D" w:rsidP="00890E8A">
      <w:pPr>
        <w:spacing w:line="480" w:lineRule="auto"/>
      </w:pPr>
      <w:r w:rsidRPr="00EC6DC6">
        <w:t xml:space="preserve">[14] Chen CK, Wu YT, Chang YC. </w:t>
      </w:r>
      <w:r w:rsidRPr="00F7011C">
        <w:t xml:space="preserve">Association between chronic periodontitis and the risk of Alzheimer’s disease: a retrospective, population-based, matched-cohort study. </w:t>
      </w:r>
      <w:proofErr w:type="spellStart"/>
      <w:r w:rsidRPr="00F7011C">
        <w:rPr>
          <w:i/>
          <w:iCs/>
        </w:rPr>
        <w:t>Alzheimers</w:t>
      </w:r>
      <w:proofErr w:type="spellEnd"/>
      <w:r w:rsidRPr="00F7011C">
        <w:rPr>
          <w:i/>
          <w:iCs/>
        </w:rPr>
        <w:t xml:space="preserve"> Res Ther</w:t>
      </w:r>
      <w:r w:rsidRPr="00F7011C">
        <w:t>. 2017;9(1):56. doi:10.1186/s13195-017-0282-6</w:t>
      </w:r>
    </w:p>
    <w:p w14:paraId="27DC7D4B" w14:textId="77777777" w:rsidR="0086705D" w:rsidRDefault="0086705D" w:rsidP="00890E8A">
      <w:pPr>
        <w:spacing w:line="480" w:lineRule="auto"/>
      </w:pPr>
      <w:r>
        <w:t xml:space="preserve">[15] </w:t>
      </w:r>
      <w:r w:rsidRPr="002A076A">
        <w:t xml:space="preserve">Lee YT, Lee HC, Hu CJ, Huang LK, Chao SP, Lin CP, Su EC, Lee YC, Chen CC. Periodontitis as a modifiable risk factor for dementia: a nationwide population-based cohort study. </w:t>
      </w:r>
      <w:r w:rsidRPr="002A076A">
        <w:rPr>
          <w:i/>
          <w:iCs/>
        </w:rPr>
        <w:t xml:space="preserve">J Am </w:t>
      </w:r>
      <w:proofErr w:type="spellStart"/>
      <w:r w:rsidRPr="002A076A">
        <w:rPr>
          <w:i/>
          <w:iCs/>
        </w:rPr>
        <w:t>Geriatr</w:t>
      </w:r>
      <w:proofErr w:type="spellEnd"/>
      <w:r w:rsidRPr="002A076A">
        <w:rPr>
          <w:i/>
          <w:iCs/>
        </w:rPr>
        <w:t xml:space="preserve"> Soc</w:t>
      </w:r>
      <w:r w:rsidRPr="002A076A">
        <w:t>. 2017;65(2):301–305. doi:10.1111/jgs.14517</w:t>
      </w:r>
    </w:p>
    <w:p w14:paraId="50BF6F60" w14:textId="77777777" w:rsidR="0086705D" w:rsidRDefault="0086705D" w:rsidP="00890E8A">
      <w:pPr>
        <w:spacing w:line="480" w:lineRule="auto"/>
      </w:pPr>
      <w:r>
        <w:t xml:space="preserve">[16] </w:t>
      </w:r>
      <w:r w:rsidRPr="005C0FA3">
        <w:t xml:space="preserve">Choi S, Kim K, Chang J, Kim SM, Kim SJ, Cho HJ, Park SM. Association of chronic periodontitis with Alzheimer’s disease or vascular dementia. </w:t>
      </w:r>
      <w:r w:rsidRPr="005C0FA3">
        <w:rPr>
          <w:i/>
          <w:iCs/>
        </w:rPr>
        <w:t xml:space="preserve">J Am </w:t>
      </w:r>
      <w:proofErr w:type="spellStart"/>
      <w:r w:rsidRPr="005C0FA3">
        <w:rPr>
          <w:i/>
          <w:iCs/>
        </w:rPr>
        <w:t>Geriatr</w:t>
      </w:r>
      <w:proofErr w:type="spellEnd"/>
      <w:r w:rsidRPr="005C0FA3">
        <w:rPr>
          <w:i/>
          <w:iCs/>
        </w:rPr>
        <w:t xml:space="preserve"> Soc</w:t>
      </w:r>
      <w:r w:rsidRPr="005C0FA3">
        <w:t>. 2019;67(6):1234–1239. doi:10.1111/jgs.15802</w:t>
      </w:r>
    </w:p>
    <w:p w14:paraId="5B209A81" w14:textId="77777777" w:rsidR="0086705D" w:rsidRDefault="0086705D" w:rsidP="00890E8A">
      <w:pPr>
        <w:spacing w:line="480" w:lineRule="auto"/>
      </w:pPr>
      <w:r>
        <w:t xml:space="preserve">[17] </w:t>
      </w:r>
      <w:r w:rsidRPr="00262D9E">
        <w:t xml:space="preserve">Wittenberg R, Hu B, Barraza-Araiza L, Rehill A. </w:t>
      </w:r>
      <w:r w:rsidRPr="00262D9E">
        <w:rPr>
          <w:i/>
          <w:iCs/>
        </w:rPr>
        <w:t>Projections of older people living with dementia and costs of dementia care in the United Kingdom, 2019–2040</w:t>
      </w:r>
      <w:r w:rsidRPr="00262D9E">
        <w:t>. London: Care Policy and Evaluation Centre, London School of Economics and Political Science; 2019 Nov. Report No.: 79.</w:t>
      </w:r>
    </w:p>
    <w:p w14:paraId="0CD41E88" w14:textId="77777777" w:rsidR="0086705D" w:rsidRDefault="0086705D" w:rsidP="00890E8A">
      <w:pPr>
        <w:spacing w:line="480" w:lineRule="auto"/>
      </w:pPr>
      <w:r>
        <w:t xml:space="preserve">[18] </w:t>
      </w:r>
      <w:r w:rsidRPr="00B9767B">
        <w:t xml:space="preserve">Livingston G, Huntley J, Liu KY, </w:t>
      </w:r>
      <w:proofErr w:type="spellStart"/>
      <w:r w:rsidRPr="00B9767B">
        <w:t>Costafreda</w:t>
      </w:r>
      <w:proofErr w:type="spellEnd"/>
      <w:r w:rsidRPr="00B9767B">
        <w:t xml:space="preserve"> SG, </w:t>
      </w:r>
      <w:proofErr w:type="spellStart"/>
      <w:r w:rsidRPr="00B9767B">
        <w:t>Selbæk</w:t>
      </w:r>
      <w:proofErr w:type="spellEnd"/>
      <w:r w:rsidRPr="00B9767B">
        <w:t xml:space="preserve"> G, Alladi S, Ames D, Banerjee S, Burns A, </w:t>
      </w:r>
      <w:proofErr w:type="spellStart"/>
      <w:r w:rsidRPr="00B9767B">
        <w:t>Brayne</w:t>
      </w:r>
      <w:proofErr w:type="spellEnd"/>
      <w:r w:rsidRPr="00B9767B">
        <w:t xml:space="preserve"> C, Fox NC. Dementia prevention, intervention, and care: 2024 report of the Lancet Standing Commission. </w:t>
      </w:r>
      <w:r w:rsidRPr="00B9767B">
        <w:rPr>
          <w:i/>
          <w:iCs/>
        </w:rPr>
        <w:t>Lancet</w:t>
      </w:r>
      <w:r w:rsidRPr="00B9767B">
        <w:t>. 2024;404(10452):572–628. doi:10.1016/S0140-6736(24)01302-2</w:t>
      </w:r>
    </w:p>
    <w:p w14:paraId="40A40ED0" w14:textId="77777777" w:rsidR="0086705D" w:rsidRDefault="0086705D" w:rsidP="00890E8A">
      <w:pPr>
        <w:spacing w:line="480" w:lineRule="auto"/>
      </w:pPr>
      <w:r>
        <w:t xml:space="preserve">[19] </w:t>
      </w:r>
      <w:r w:rsidRPr="00170ED0">
        <w:t xml:space="preserve">Chen Y, Araghi M, </w:t>
      </w:r>
      <w:proofErr w:type="spellStart"/>
      <w:r w:rsidRPr="00170ED0">
        <w:t>Bandosz</w:t>
      </w:r>
      <w:proofErr w:type="spellEnd"/>
      <w:r w:rsidRPr="00170ED0">
        <w:t xml:space="preserve"> P, Shipley MJ, Ahmadi-Abhari S, Lobanov-Rostovsky S, Venkatraman T, </w:t>
      </w:r>
      <w:proofErr w:type="spellStart"/>
      <w:r w:rsidRPr="00170ED0">
        <w:t>Kivimaki</w:t>
      </w:r>
      <w:proofErr w:type="spellEnd"/>
      <w:r w:rsidRPr="00170ED0">
        <w:t xml:space="preserve"> M, O’Flaherty M, Brunner EJ. Impact of hypertension </w:t>
      </w:r>
      <w:r w:rsidRPr="00170ED0">
        <w:lastRenderedPageBreak/>
        <w:t xml:space="preserve">prevalence trend on mortality and burdens of dementia and disability in England and Wales to 2060: a simulation modelling study. </w:t>
      </w:r>
      <w:r w:rsidRPr="00170ED0">
        <w:rPr>
          <w:i/>
          <w:iCs/>
        </w:rPr>
        <w:t>Lancet Healthy Longev</w:t>
      </w:r>
      <w:r w:rsidRPr="00170ED0">
        <w:t>. 2023;4(9):e470–e477. doi:10.1016/S2666-7568(23)00163-5</w:t>
      </w:r>
    </w:p>
    <w:p w14:paraId="0C0A9010" w14:textId="75224F04" w:rsidR="0044051F" w:rsidRDefault="0044051F" w:rsidP="00890E8A">
      <w:pPr>
        <w:spacing w:line="480" w:lineRule="auto"/>
      </w:pPr>
      <w:r>
        <w:t xml:space="preserve">[20] </w:t>
      </w:r>
      <w:r w:rsidR="000B098C" w:rsidRPr="00564002">
        <w:t xml:space="preserve">Office for National Statistics. Estimates of the population for England and Wales [Internet]. 2023. Available from: </w:t>
      </w:r>
      <w:hyperlink r:id="rId6" w:history="1">
        <w:r w:rsidR="000B098C" w:rsidRPr="00564002">
          <w:rPr>
            <w:rStyle w:val="Hyperlink"/>
          </w:rPr>
          <w:t>https://www.ons.gov.uk/peoplepopulationandcommunity/populationandmigration/populationestimates/datasets/estimatesofthepopulationforenglandandwales</w:t>
        </w:r>
      </w:hyperlink>
    </w:p>
    <w:p w14:paraId="356430C5" w14:textId="2AD8946F" w:rsidR="0044051F" w:rsidRDefault="0044051F" w:rsidP="00890E8A">
      <w:pPr>
        <w:spacing w:line="480" w:lineRule="auto"/>
      </w:pPr>
      <w:r>
        <w:t>[21]</w:t>
      </w:r>
      <w:r w:rsidR="00D2698A">
        <w:t xml:space="preserve"> </w:t>
      </w:r>
      <w:r w:rsidR="00D2698A" w:rsidRPr="00564002">
        <w:t xml:space="preserve">Office for National Statistics. </w:t>
      </w:r>
      <w:r w:rsidR="00D2698A" w:rsidRPr="00536598">
        <w:t>Population projections for regions by five-year age groups and sex, England</w:t>
      </w:r>
      <w:r w:rsidR="00D2698A">
        <w:t xml:space="preserve"> </w:t>
      </w:r>
      <w:r w:rsidR="00D2698A" w:rsidRPr="00564002">
        <w:t>[Internet]. 2023. Available from:</w:t>
      </w:r>
      <w:r w:rsidR="00D2698A">
        <w:t xml:space="preserve"> </w:t>
      </w:r>
      <w:hyperlink r:id="rId7" w:history="1">
        <w:r w:rsidR="00D2698A" w:rsidRPr="00ED40E4">
          <w:rPr>
            <w:rStyle w:val="Hyperlink"/>
          </w:rPr>
          <w:t>https://www.ons.gov.uk/peoplepopulationandcommunity/populationandmigration/populationprojections/datasets/regionsinenglandtable1</w:t>
        </w:r>
      </w:hyperlink>
    </w:p>
    <w:p w14:paraId="51CE0B4E" w14:textId="1CC1BFA2" w:rsidR="00D2698A" w:rsidRDefault="00D2698A" w:rsidP="00890E8A">
      <w:pPr>
        <w:spacing w:line="480" w:lineRule="auto"/>
      </w:pPr>
      <w:r w:rsidRPr="00C625D2">
        <w:rPr>
          <w:lang w:val="de-DE"/>
        </w:rPr>
        <w:t xml:space="preserve">[22] </w:t>
      </w:r>
      <w:r w:rsidR="00C625D2" w:rsidRPr="002330B6">
        <w:rPr>
          <w:lang w:val="de-DE"/>
        </w:rPr>
        <w:t xml:space="preserve">Brück CC, Wolters FJ, Ikram MA, de Kok IM. </w:t>
      </w:r>
      <w:r w:rsidR="00C625D2" w:rsidRPr="00564002">
        <w:t xml:space="preserve">Projected prevalence and incidence of dementia accounting for secular trends and birth cohort effects: a population-based microsimulation study. </w:t>
      </w:r>
      <w:proofErr w:type="spellStart"/>
      <w:r w:rsidR="00C625D2" w:rsidRPr="00564002">
        <w:rPr>
          <w:i/>
          <w:iCs/>
        </w:rPr>
        <w:t>Eur</w:t>
      </w:r>
      <w:proofErr w:type="spellEnd"/>
      <w:r w:rsidR="00C625D2" w:rsidRPr="00564002">
        <w:rPr>
          <w:i/>
          <w:iCs/>
        </w:rPr>
        <w:t xml:space="preserve"> J Epidemiol</w:t>
      </w:r>
      <w:r w:rsidR="00C625D2" w:rsidRPr="00564002">
        <w:t>. 2022;37(8):807–814. doi:10.1007/s10654-022-00894-8</w:t>
      </w:r>
    </w:p>
    <w:p w14:paraId="76862EC2" w14:textId="4C377238" w:rsidR="00375FB1" w:rsidRDefault="00375FB1" w:rsidP="00890E8A">
      <w:pPr>
        <w:spacing w:line="480" w:lineRule="auto"/>
      </w:pPr>
      <w:r>
        <w:t>[23]</w:t>
      </w:r>
      <w:r w:rsidR="00DE1D9A">
        <w:t xml:space="preserve"> </w:t>
      </w:r>
      <w:proofErr w:type="spellStart"/>
      <w:r w:rsidR="00DE1D9A" w:rsidRPr="00564002">
        <w:t>Ermini</w:t>
      </w:r>
      <w:proofErr w:type="spellEnd"/>
      <w:r w:rsidR="00DE1D9A" w:rsidRPr="00564002">
        <w:t xml:space="preserve"> Leaf D, Tysinger B, Goldman DP, Lakdawalla DN. Predicting quantity and quality of life with the Future Elderly Model. </w:t>
      </w:r>
      <w:r w:rsidR="00DE1D9A" w:rsidRPr="00564002">
        <w:rPr>
          <w:i/>
          <w:iCs/>
        </w:rPr>
        <w:t>Health Econ</w:t>
      </w:r>
      <w:r w:rsidR="00DE1D9A" w:rsidRPr="00564002">
        <w:t>. 2021;30(</w:t>
      </w:r>
      <w:proofErr w:type="spellStart"/>
      <w:r w:rsidR="00DE1D9A" w:rsidRPr="00564002">
        <w:t>Suppl</w:t>
      </w:r>
      <w:proofErr w:type="spellEnd"/>
      <w:r w:rsidR="00DE1D9A" w:rsidRPr="00564002">
        <w:t xml:space="preserve"> 1):52–79. doi:10.1002/hec.4445</w:t>
      </w:r>
    </w:p>
    <w:p w14:paraId="0E440B95" w14:textId="24332DA3" w:rsidR="00E664C7" w:rsidRDefault="00E664C7" w:rsidP="00890E8A">
      <w:pPr>
        <w:spacing w:line="480" w:lineRule="auto"/>
      </w:pPr>
      <w:r>
        <w:t xml:space="preserve">[24] </w:t>
      </w:r>
      <w:proofErr w:type="spellStart"/>
      <w:r w:rsidR="008D3090" w:rsidRPr="00564002">
        <w:t>Olfson</w:t>
      </w:r>
      <w:proofErr w:type="spellEnd"/>
      <w:r w:rsidR="008D3090" w:rsidRPr="00564002">
        <w:t xml:space="preserve"> M, Stroup TS, Huang C, Wall MM, Gerhard T. Age and incidence of dementia diagnosis. </w:t>
      </w:r>
      <w:r w:rsidR="008D3090" w:rsidRPr="00564002">
        <w:rPr>
          <w:i/>
          <w:iCs/>
        </w:rPr>
        <w:t>J Gen Intern Med</w:t>
      </w:r>
      <w:r w:rsidR="008D3090" w:rsidRPr="00564002">
        <w:t>. 2021;36(7):2167–2169. doi:10.1007/s11606-021-06670-y</w:t>
      </w:r>
    </w:p>
    <w:p w14:paraId="72AD96DD" w14:textId="6F479546" w:rsidR="0039762C" w:rsidRDefault="0039762C" w:rsidP="00890E8A">
      <w:pPr>
        <w:spacing w:line="480" w:lineRule="auto"/>
      </w:pPr>
      <w:r>
        <w:lastRenderedPageBreak/>
        <w:t xml:space="preserve">[25] </w:t>
      </w:r>
      <w:r w:rsidRPr="00564002">
        <w:t xml:space="preserve">NHS Digital. Primary Care Dementia Data, December 2023. England: NHS Digital; 2024. Available from: </w:t>
      </w:r>
      <w:hyperlink r:id="rId8" w:tgtFrame="_new" w:history="1">
        <w:r w:rsidRPr="00564002">
          <w:rPr>
            <w:rStyle w:val="Hyperlink"/>
          </w:rPr>
          <w:t>https://digital.nhs.uk/data-and-information/publications/statistical/primary-care-dementia-data/december-2023</w:t>
        </w:r>
      </w:hyperlink>
    </w:p>
    <w:p w14:paraId="10F0BDDE" w14:textId="01BEBF1D" w:rsidR="003202E4" w:rsidRDefault="003202E4" w:rsidP="00890E8A">
      <w:pPr>
        <w:spacing w:line="480" w:lineRule="auto"/>
      </w:pPr>
      <w:r>
        <w:t>[26]</w:t>
      </w:r>
      <w:r w:rsidR="00AA5869">
        <w:t xml:space="preserve"> </w:t>
      </w:r>
      <w:proofErr w:type="spellStart"/>
      <w:r w:rsidR="00AA5869" w:rsidRPr="00AA5869">
        <w:t>Tariot</w:t>
      </w:r>
      <w:proofErr w:type="spellEnd"/>
      <w:r w:rsidR="00AA5869" w:rsidRPr="00AA5869">
        <w:t xml:space="preserve"> PN, Boada M, </w:t>
      </w:r>
      <w:proofErr w:type="spellStart"/>
      <w:r w:rsidR="00AA5869" w:rsidRPr="00AA5869">
        <w:t>Lanctôt</w:t>
      </w:r>
      <w:proofErr w:type="spellEnd"/>
      <w:r w:rsidR="00AA5869" w:rsidRPr="00AA5869">
        <w:t xml:space="preserve"> KL, et al. </w:t>
      </w:r>
      <w:r w:rsidR="00AA5869" w:rsidRPr="00564002">
        <w:t xml:space="preserve">Relationships of change in Clinical Dementia Rating (CDR) on patient outcomes and probability of progression: observational analysis. </w:t>
      </w:r>
      <w:proofErr w:type="spellStart"/>
      <w:r w:rsidR="00AA5869" w:rsidRPr="00564002">
        <w:rPr>
          <w:i/>
          <w:iCs/>
        </w:rPr>
        <w:t>Alzheimers</w:t>
      </w:r>
      <w:proofErr w:type="spellEnd"/>
      <w:r w:rsidR="00AA5869" w:rsidRPr="00564002">
        <w:rPr>
          <w:i/>
          <w:iCs/>
        </w:rPr>
        <w:t xml:space="preserve"> Res Ther</w:t>
      </w:r>
      <w:r w:rsidR="00AA5869" w:rsidRPr="00564002">
        <w:t>. 2024;16:36. doi:10.1186/s13195-024-01399-7</w:t>
      </w:r>
    </w:p>
    <w:p w14:paraId="5445EAF7" w14:textId="062A7DBB" w:rsidR="003202E4" w:rsidRDefault="003202E4" w:rsidP="00890E8A">
      <w:pPr>
        <w:spacing w:line="480" w:lineRule="auto"/>
      </w:pPr>
      <w:r>
        <w:t>[27]</w:t>
      </w:r>
      <w:r w:rsidR="00AD4AD5">
        <w:t xml:space="preserve"> </w:t>
      </w:r>
      <w:r w:rsidR="00AD4AD5" w:rsidRPr="00564002">
        <w:t xml:space="preserve">Matthews FE, Stephan BCM, Robinson L, Jagger C, Barnes LE, Arthur A, </w:t>
      </w:r>
      <w:proofErr w:type="spellStart"/>
      <w:r w:rsidR="00AD4AD5" w:rsidRPr="00564002">
        <w:t>Brayne</w:t>
      </w:r>
      <w:proofErr w:type="spellEnd"/>
      <w:r w:rsidR="00AD4AD5" w:rsidRPr="00564002">
        <w:t xml:space="preserve"> C. A two decade dementia incidence comparison from the Cognitive Function and Ageing Studies I and II. </w:t>
      </w:r>
      <w:r w:rsidR="00AD4AD5" w:rsidRPr="00564002">
        <w:rPr>
          <w:i/>
          <w:iCs/>
        </w:rPr>
        <w:t>Nat Commun</w:t>
      </w:r>
      <w:r w:rsidR="00AD4AD5" w:rsidRPr="00564002">
        <w:t>. 2016;7:11398. doi:10.1038/ncomms11398</w:t>
      </w:r>
    </w:p>
    <w:p w14:paraId="15900297" w14:textId="68E04D12" w:rsidR="00690F7C" w:rsidRDefault="00690F7C" w:rsidP="00890E8A">
      <w:pPr>
        <w:spacing w:line="480" w:lineRule="auto"/>
      </w:pPr>
      <w:r>
        <w:t>[28]</w:t>
      </w:r>
      <w:r w:rsidR="00B452D0">
        <w:t xml:space="preserve"> </w:t>
      </w:r>
      <w:proofErr w:type="spellStart"/>
      <w:r w:rsidR="00B452D0" w:rsidRPr="00564002">
        <w:t>Licher</w:t>
      </w:r>
      <w:proofErr w:type="spellEnd"/>
      <w:r w:rsidR="00B452D0" w:rsidRPr="00564002">
        <w:t xml:space="preserve"> S, et al. Lifetime risk of common neurological diseases in the elderly population. </w:t>
      </w:r>
      <w:r w:rsidR="00B452D0" w:rsidRPr="00564002">
        <w:rPr>
          <w:i/>
          <w:iCs/>
        </w:rPr>
        <w:t xml:space="preserve">J </w:t>
      </w:r>
      <w:proofErr w:type="spellStart"/>
      <w:r w:rsidR="00B452D0" w:rsidRPr="00564002">
        <w:rPr>
          <w:i/>
          <w:iCs/>
        </w:rPr>
        <w:t>Neurol</w:t>
      </w:r>
      <w:proofErr w:type="spellEnd"/>
      <w:r w:rsidR="00B452D0" w:rsidRPr="00564002">
        <w:rPr>
          <w:i/>
          <w:iCs/>
        </w:rPr>
        <w:t xml:space="preserve"> </w:t>
      </w:r>
      <w:proofErr w:type="spellStart"/>
      <w:r w:rsidR="00B452D0" w:rsidRPr="00564002">
        <w:rPr>
          <w:i/>
          <w:iCs/>
        </w:rPr>
        <w:t>Neurosurg</w:t>
      </w:r>
      <w:proofErr w:type="spellEnd"/>
      <w:r w:rsidR="00B452D0" w:rsidRPr="00564002">
        <w:rPr>
          <w:i/>
          <w:iCs/>
        </w:rPr>
        <w:t xml:space="preserve"> Psychiatry</w:t>
      </w:r>
      <w:r w:rsidR="00B452D0" w:rsidRPr="00564002">
        <w:t>. 2019;90(2):148–156. doi:10.1136/jnnp-2018-318650</w:t>
      </w:r>
    </w:p>
    <w:p w14:paraId="3C741B70" w14:textId="4B6D1411" w:rsidR="00690F7C" w:rsidRDefault="00690F7C" w:rsidP="00890E8A">
      <w:pPr>
        <w:spacing w:line="480" w:lineRule="auto"/>
      </w:pPr>
      <w:r>
        <w:t>[29]</w:t>
      </w:r>
      <w:r w:rsidR="00F134BB">
        <w:t xml:space="preserve"> </w:t>
      </w:r>
      <w:r w:rsidR="00F134BB" w:rsidRPr="00564002">
        <w:t xml:space="preserve">Crowell V, Reyes A, Zhou SQ, et al. Disease severity and mortality in Alzheimer’s disease: an analysis using the U.S. National Alzheimer’s Coordinating </w:t>
      </w:r>
      <w:proofErr w:type="spellStart"/>
      <w:r w:rsidR="00F134BB" w:rsidRPr="00564002">
        <w:t>Center</w:t>
      </w:r>
      <w:proofErr w:type="spellEnd"/>
      <w:r w:rsidR="00F134BB" w:rsidRPr="00564002">
        <w:t xml:space="preserve"> Uniform Data Set. </w:t>
      </w:r>
      <w:r w:rsidR="00F134BB" w:rsidRPr="00564002">
        <w:rPr>
          <w:i/>
          <w:iCs/>
        </w:rPr>
        <w:t>BMC Neurol</w:t>
      </w:r>
      <w:r w:rsidR="00F134BB" w:rsidRPr="00564002">
        <w:t>. 2023;23:302. doi:10.1186/s12883-023-03353-w</w:t>
      </w:r>
    </w:p>
    <w:p w14:paraId="53BBC444" w14:textId="4B457804" w:rsidR="00690F7C" w:rsidRDefault="00690F7C" w:rsidP="00890E8A">
      <w:pPr>
        <w:spacing w:line="480" w:lineRule="auto"/>
      </w:pPr>
      <w:r>
        <w:t>[30]</w:t>
      </w:r>
      <w:r w:rsidR="007A2296">
        <w:t xml:space="preserve"> </w:t>
      </w:r>
      <w:r w:rsidR="007A2296" w:rsidRPr="00564002">
        <w:t xml:space="preserve">Öksüz N, </w:t>
      </w:r>
      <w:proofErr w:type="spellStart"/>
      <w:r w:rsidR="007A2296" w:rsidRPr="00564002">
        <w:t>Ghouri</w:t>
      </w:r>
      <w:proofErr w:type="spellEnd"/>
      <w:r w:rsidR="007A2296" w:rsidRPr="00564002">
        <w:t xml:space="preserve"> R, Taşdelen B, </w:t>
      </w:r>
      <w:proofErr w:type="spellStart"/>
      <w:r w:rsidR="007A2296" w:rsidRPr="00564002">
        <w:t>Uludüz</w:t>
      </w:r>
      <w:proofErr w:type="spellEnd"/>
      <w:r w:rsidR="007A2296" w:rsidRPr="00564002">
        <w:t xml:space="preserve"> D, Özge A. Mild cognitive impairment progression and Alzheimer’s disease risk: a comprehensive analysis of 3553 cases over 203 months. J Clin Med. 2024;13(2):518. doi:10.3390/jcm13020518</w:t>
      </w:r>
    </w:p>
    <w:p w14:paraId="39B8BA57" w14:textId="53798A5E" w:rsidR="000124E6" w:rsidRDefault="000124E6" w:rsidP="00890E8A">
      <w:pPr>
        <w:spacing w:line="480" w:lineRule="auto"/>
      </w:pPr>
      <w:r>
        <w:t xml:space="preserve">[31] </w:t>
      </w:r>
      <w:r w:rsidR="00301CCE" w:rsidRPr="00297E91">
        <w:t xml:space="preserve">Chen Y, </w:t>
      </w:r>
      <w:proofErr w:type="spellStart"/>
      <w:r w:rsidR="00301CCE" w:rsidRPr="00297E91">
        <w:t>Bandosz</w:t>
      </w:r>
      <w:proofErr w:type="spellEnd"/>
      <w:r w:rsidR="00301CCE" w:rsidRPr="00297E91">
        <w:t xml:space="preserve"> P, Stoye G, Liu Y, Wu Y, Lobanov-Rostovsky S, French E, </w:t>
      </w:r>
      <w:proofErr w:type="spellStart"/>
      <w:r w:rsidR="00301CCE" w:rsidRPr="00297E91">
        <w:t>Kivimaki</w:t>
      </w:r>
      <w:proofErr w:type="spellEnd"/>
      <w:r w:rsidR="00301CCE" w:rsidRPr="00297E91">
        <w:t xml:space="preserve"> M, Livingston G, Liao J, Brunner EJ. Dementia incidence trend in England and Wales, 2002–19, and projection for dementia burden to 2040: analysis of data from the English Longitudinal Study of Ageing. </w:t>
      </w:r>
      <w:r w:rsidR="00301CCE" w:rsidRPr="00297E91">
        <w:rPr>
          <w:i/>
          <w:iCs/>
        </w:rPr>
        <w:t>Lancet Public Health</w:t>
      </w:r>
      <w:r w:rsidR="00301CCE" w:rsidRPr="00297E91">
        <w:t>. 2023 Nov 1;8(11):e859–67.</w:t>
      </w:r>
    </w:p>
    <w:p w14:paraId="13343722" w14:textId="1D00EB89" w:rsidR="00301CCE" w:rsidRDefault="00301CCE" w:rsidP="00890E8A">
      <w:pPr>
        <w:spacing w:line="480" w:lineRule="auto"/>
      </w:pPr>
      <w:r>
        <w:lastRenderedPageBreak/>
        <w:t xml:space="preserve">[32] </w:t>
      </w:r>
      <w:r w:rsidR="00C8653A" w:rsidRPr="00564002">
        <w:t xml:space="preserve">Biondo F, Jewell A, Pritchard M, et al. Brain-age is associated with progression to dementia in memory clinic patients. </w:t>
      </w:r>
      <w:r w:rsidR="00C8653A" w:rsidRPr="00564002">
        <w:rPr>
          <w:i/>
          <w:iCs/>
        </w:rPr>
        <w:t>Neuroimage Clin</w:t>
      </w:r>
      <w:r w:rsidR="00C8653A" w:rsidRPr="00564002">
        <w:t>. 2022;36:103175. doi:10.1016/j.nicl.2022.103175</w:t>
      </w:r>
    </w:p>
    <w:p w14:paraId="04B70381" w14:textId="3E98FAE4" w:rsidR="003D6716" w:rsidRDefault="003D6716" w:rsidP="00890E8A">
      <w:pPr>
        <w:spacing w:line="480" w:lineRule="auto"/>
      </w:pPr>
      <w:r>
        <w:t>[33]</w:t>
      </w:r>
      <w:r w:rsidRPr="003D6716">
        <w:t xml:space="preserve"> </w:t>
      </w:r>
      <w:r w:rsidRPr="00564002">
        <w:t xml:space="preserve">Department of Health and Social Care, NHS England. </w:t>
      </w:r>
      <w:r w:rsidRPr="00564002">
        <w:rPr>
          <w:i/>
          <w:iCs/>
        </w:rPr>
        <w:t>Delivering better oral health: an evidence-based toolkit for prevention. Chapter 5: periodontal diseases.</w:t>
      </w:r>
      <w:r w:rsidRPr="00564002">
        <w:t xml:space="preserve"> London: Department of Health and Social Care; updated 10 September 2025. Available from: </w:t>
      </w:r>
      <w:hyperlink r:id="rId9" w:history="1">
        <w:r w:rsidRPr="00564002">
          <w:rPr>
            <w:rStyle w:val="Hyperlink"/>
          </w:rPr>
          <w:t>https://www.gov.uk/government/publications/delivering-better-oral-health</w:t>
        </w:r>
      </w:hyperlink>
    </w:p>
    <w:p w14:paraId="3FFC21CD" w14:textId="7AE23783" w:rsidR="00C8653A" w:rsidRDefault="00C8653A" w:rsidP="00890E8A">
      <w:pPr>
        <w:spacing w:line="480" w:lineRule="auto"/>
      </w:pPr>
      <w:r>
        <w:t>[3</w:t>
      </w:r>
      <w:r w:rsidR="003D6716">
        <w:t>4</w:t>
      </w:r>
      <w:r>
        <w:t xml:space="preserve">] </w:t>
      </w:r>
      <w:r w:rsidR="004A06EE" w:rsidRPr="00564002">
        <w:t xml:space="preserve">Ahmadi-Abhari S, Guzman-Castillo M, </w:t>
      </w:r>
      <w:proofErr w:type="spellStart"/>
      <w:r w:rsidR="004A06EE" w:rsidRPr="00564002">
        <w:t>Bandosz</w:t>
      </w:r>
      <w:proofErr w:type="spellEnd"/>
      <w:r w:rsidR="004A06EE" w:rsidRPr="00564002">
        <w:t xml:space="preserve"> P, Shipley MJ, Muniz-</w:t>
      </w:r>
      <w:proofErr w:type="spellStart"/>
      <w:r w:rsidR="004A06EE" w:rsidRPr="00564002">
        <w:t>Terrera</w:t>
      </w:r>
      <w:proofErr w:type="spellEnd"/>
      <w:r w:rsidR="004A06EE" w:rsidRPr="00564002">
        <w:t xml:space="preserve"> G, Singh-</w:t>
      </w:r>
      <w:proofErr w:type="spellStart"/>
      <w:r w:rsidR="004A06EE" w:rsidRPr="00564002">
        <w:t>Manoux</w:t>
      </w:r>
      <w:proofErr w:type="spellEnd"/>
      <w:r w:rsidR="004A06EE" w:rsidRPr="00564002">
        <w:t xml:space="preserve"> A, Kivimäki M, Steptoe A, Capewell S, O’Flaherty M, Brunner EJ. Temporal trend in dementia incidence since 2002 and projections for prevalence in England and Wales to 2040: modelling study. </w:t>
      </w:r>
      <w:r w:rsidR="004A06EE" w:rsidRPr="00564002">
        <w:rPr>
          <w:i/>
          <w:iCs/>
        </w:rPr>
        <w:t>BMJ</w:t>
      </w:r>
      <w:r w:rsidR="004A06EE" w:rsidRPr="00564002">
        <w:t>. 2017;358:j2856. doi:10.1136/bmj.j2856</w:t>
      </w:r>
    </w:p>
    <w:p w14:paraId="091B662A" w14:textId="4E0A25A5" w:rsidR="00775D85" w:rsidRDefault="00775D85" w:rsidP="00890E8A">
      <w:pPr>
        <w:spacing w:line="480" w:lineRule="auto"/>
      </w:pPr>
      <w:r>
        <w:t>[35]</w:t>
      </w:r>
      <w:r w:rsidR="007E580E">
        <w:t xml:space="preserve"> </w:t>
      </w:r>
      <w:r w:rsidR="007E580E" w:rsidRPr="00564002">
        <w:t xml:space="preserve">Zhang RQ, Ou YN, Huang SY, Li YZ, Huang YY, Zhang YR, Chen SD, Dong Q, Feng JF, Cheng W, Yu JT. Poor oral health and risk of incident dementia: a prospective cohort study of 425,183 participants. </w:t>
      </w:r>
      <w:r w:rsidR="007E580E" w:rsidRPr="00564002">
        <w:rPr>
          <w:i/>
          <w:iCs/>
        </w:rPr>
        <w:t xml:space="preserve">J </w:t>
      </w:r>
      <w:proofErr w:type="spellStart"/>
      <w:r w:rsidR="007E580E" w:rsidRPr="00564002">
        <w:rPr>
          <w:i/>
          <w:iCs/>
        </w:rPr>
        <w:t>Alzheimers</w:t>
      </w:r>
      <w:proofErr w:type="spellEnd"/>
      <w:r w:rsidR="007E580E" w:rsidRPr="00564002">
        <w:rPr>
          <w:i/>
          <w:iCs/>
        </w:rPr>
        <w:t xml:space="preserve"> Dis</w:t>
      </w:r>
      <w:r w:rsidR="007E580E" w:rsidRPr="00564002">
        <w:t>. 2023;93(3):977–990. doi:10.3233/JAD-230109</w:t>
      </w:r>
    </w:p>
    <w:p w14:paraId="67CD2016" w14:textId="7A24D3B0" w:rsidR="00190E8D" w:rsidRDefault="00FD4628" w:rsidP="00890E8A">
      <w:pPr>
        <w:spacing w:line="480" w:lineRule="auto"/>
      </w:pPr>
      <w:r>
        <w:t>[36]</w:t>
      </w:r>
      <w:r w:rsidR="00D47835">
        <w:t xml:space="preserve"> </w:t>
      </w:r>
      <w:r w:rsidR="00D47835" w:rsidRPr="00564002">
        <w:t xml:space="preserve">Beydoun MA, Beydoun HA, Hossain S, El-Hajj ZW, Weiss J, </w:t>
      </w:r>
      <w:proofErr w:type="spellStart"/>
      <w:r w:rsidR="00D47835" w:rsidRPr="00564002">
        <w:t>Zonderman</w:t>
      </w:r>
      <w:proofErr w:type="spellEnd"/>
      <w:r w:rsidR="00D47835" w:rsidRPr="00564002">
        <w:t xml:space="preserve"> AB. Clinical and bacterial markers of periodontitis and their association with incident all-cause and Alzheimer’s disease dementia in a large national survey. </w:t>
      </w:r>
      <w:r w:rsidR="00D47835" w:rsidRPr="00564002">
        <w:rPr>
          <w:i/>
          <w:iCs/>
        </w:rPr>
        <w:t xml:space="preserve">J </w:t>
      </w:r>
      <w:proofErr w:type="spellStart"/>
      <w:r w:rsidR="00D47835" w:rsidRPr="00564002">
        <w:rPr>
          <w:i/>
          <w:iCs/>
        </w:rPr>
        <w:t>Alzheimers</w:t>
      </w:r>
      <w:proofErr w:type="spellEnd"/>
      <w:r w:rsidR="00D47835" w:rsidRPr="00564002">
        <w:rPr>
          <w:i/>
          <w:iCs/>
        </w:rPr>
        <w:t xml:space="preserve"> Dis</w:t>
      </w:r>
      <w:r w:rsidR="00D47835" w:rsidRPr="00564002">
        <w:t>. 2020;75(1):157–172. doi:10.3233/JAD-200064.</w:t>
      </w:r>
    </w:p>
    <w:p w14:paraId="7BB0EA8D" w14:textId="7DF2B595" w:rsidR="00FD4628" w:rsidRDefault="00FD4628" w:rsidP="00890E8A">
      <w:pPr>
        <w:spacing w:line="480" w:lineRule="auto"/>
      </w:pPr>
      <w:r>
        <w:t>[37]</w:t>
      </w:r>
      <w:r w:rsidR="00D45AE0">
        <w:t xml:space="preserve"> </w:t>
      </w:r>
      <w:r w:rsidR="00D45AE0" w:rsidRPr="00564002">
        <w:t xml:space="preserve">Gong J, Harris K, Peters SAE, Woodward M. Sex differences in the association between major cardiovascular risk factors in midlife and dementia: a cohort study using data from the UK Biobank. </w:t>
      </w:r>
      <w:r w:rsidR="00D45AE0" w:rsidRPr="00564002">
        <w:rPr>
          <w:i/>
          <w:iCs/>
        </w:rPr>
        <w:t>BMC Med</w:t>
      </w:r>
      <w:r w:rsidR="00D45AE0" w:rsidRPr="00564002">
        <w:t>. 2021;19:110. doi:10.1186/s12916-021-01980-z</w:t>
      </w:r>
    </w:p>
    <w:p w14:paraId="664B1901" w14:textId="2A694FB9" w:rsidR="00FD4628" w:rsidRDefault="00FD4628" w:rsidP="00890E8A">
      <w:pPr>
        <w:spacing w:line="480" w:lineRule="auto"/>
      </w:pPr>
      <w:r>
        <w:lastRenderedPageBreak/>
        <w:t>[38]</w:t>
      </w:r>
      <w:r w:rsidR="0076456C">
        <w:t xml:space="preserve"> </w:t>
      </w:r>
      <w:r w:rsidR="0076456C" w:rsidRPr="00564002">
        <w:t xml:space="preserve">Zhong G, Wang Y, Zhang Y, Guo JJ, Zhao Y. Smoking is associated with an increased risk of dementia: a meta-analysis of prospective cohort studies with investigation of potential effect modifiers. </w:t>
      </w:r>
      <w:proofErr w:type="spellStart"/>
      <w:r w:rsidR="0076456C" w:rsidRPr="00564002">
        <w:rPr>
          <w:i/>
          <w:iCs/>
        </w:rPr>
        <w:t>PLoS</w:t>
      </w:r>
      <w:proofErr w:type="spellEnd"/>
      <w:r w:rsidR="0076456C" w:rsidRPr="00564002">
        <w:rPr>
          <w:i/>
          <w:iCs/>
        </w:rPr>
        <w:t xml:space="preserve"> One</w:t>
      </w:r>
      <w:r w:rsidR="0076456C" w:rsidRPr="00564002">
        <w:t>. 2015;10(3):e0118333. doi:10.1371/journal.pone.0118333</w:t>
      </w:r>
    </w:p>
    <w:p w14:paraId="70443ED5" w14:textId="6AD476E9" w:rsidR="00FD4628" w:rsidRDefault="00FD4628" w:rsidP="00890E8A">
      <w:pPr>
        <w:spacing w:line="480" w:lineRule="auto"/>
      </w:pPr>
      <w:r>
        <w:t>[39]</w:t>
      </w:r>
      <w:r w:rsidR="00574288">
        <w:t xml:space="preserve"> </w:t>
      </w:r>
      <w:r w:rsidR="00574288" w:rsidRPr="009B09A7">
        <w:t xml:space="preserve">Batty GD, Russ TC, Starr JM, et al. </w:t>
      </w:r>
      <w:r w:rsidR="00574288" w:rsidRPr="00564002">
        <w:t>Modifiable cardiovascular disease risk factors as predictors of dementia death: pooling of ten general population-based cohort studies</w:t>
      </w:r>
      <w:r w:rsidR="00574288" w:rsidRPr="00564002">
        <w:rPr>
          <w:i/>
          <w:iCs/>
        </w:rPr>
        <w:t xml:space="preserve">. J </w:t>
      </w:r>
      <w:proofErr w:type="spellStart"/>
      <w:r w:rsidR="00574288" w:rsidRPr="00564002">
        <w:rPr>
          <w:i/>
          <w:iCs/>
        </w:rPr>
        <w:t>Negat</w:t>
      </w:r>
      <w:proofErr w:type="spellEnd"/>
      <w:r w:rsidR="00574288" w:rsidRPr="00564002">
        <w:rPr>
          <w:i/>
          <w:iCs/>
        </w:rPr>
        <w:t xml:space="preserve"> Results Biomed</w:t>
      </w:r>
      <w:r w:rsidR="00574288" w:rsidRPr="00564002">
        <w:t>. 2014;13:8. doi:10.1186/1477-5751-13-8</w:t>
      </w:r>
    </w:p>
    <w:p w14:paraId="0DE85A8E" w14:textId="550C2C1D" w:rsidR="00FD4628" w:rsidRDefault="00FD4628" w:rsidP="00890E8A">
      <w:pPr>
        <w:spacing w:line="480" w:lineRule="auto"/>
      </w:pPr>
      <w:r>
        <w:t>[40]</w:t>
      </w:r>
      <w:r w:rsidR="00FD0C39">
        <w:t xml:space="preserve"> </w:t>
      </w:r>
      <w:r w:rsidR="00FD0C39" w:rsidRPr="00564002">
        <w:t xml:space="preserve">Cao F, Yang F, Li J, et al. The relationship between diabetes and the dementia risk: a meta-analysis. </w:t>
      </w:r>
      <w:proofErr w:type="spellStart"/>
      <w:r w:rsidR="00FD0C39" w:rsidRPr="00564002">
        <w:rPr>
          <w:i/>
          <w:iCs/>
        </w:rPr>
        <w:t>Diabetol</w:t>
      </w:r>
      <w:proofErr w:type="spellEnd"/>
      <w:r w:rsidR="00FD0C39" w:rsidRPr="00564002">
        <w:rPr>
          <w:i/>
          <w:iCs/>
        </w:rPr>
        <w:t xml:space="preserve"> </w:t>
      </w:r>
      <w:proofErr w:type="spellStart"/>
      <w:r w:rsidR="00FD0C39" w:rsidRPr="00564002">
        <w:rPr>
          <w:i/>
          <w:iCs/>
        </w:rPr>
        <w:t>Metab</w:t>
      </w:r>
      <w:proofErr w:type="spellEnd"/>
      <w:r w:rsidR="00FD0C39" w:rsidRPr="00564002">
        <w:rPr>
          <w:i/>
          <w:iCs/>
        </w:rPr>
        <w:t xml:space="preserve"> Syndr.</w:t>
      </w:r>
      <w:r w:rsidR="00FD0C39" w:rsidRPr="00564002">
        <w:t xml:space="preserve"> 2024;16:101. doi:10.1186/s13098-024-01346-4</w:t>
      </w:r>
    </w:p>
    <w:p w14:paraId="27D2AC87" w14:textId="554DA94A" w:rsidR="00FD4628" w:rsidRDefault="00FD4628" w:rsidP="00890E8A">
      <w:pPr>
        <w:spacing w:line="480" w:lineRule="auto"/>
      </w:pPr>
      <w:r>
        <w:t>[41]</w:t>
      </w:r>
      <w:r w:rsidR="000815CA">
        <w:t xml:space="preserve"> </w:t>
      </w:r>
      <w:r w:rsidR="000815CA" w:rsidRPr="00564002">
        <w:t xml:space="preserve">Zhang J, Huang X, Ling Y, et al. Associations of cardiometabolic multimorbidity with all-cause dementia, Alzheimer’s disease, and vascular dementia: a cohort study in the UK Biobank. </w:t>
      </w:r>
      <w:r w:rsidR="000815CA" w:rsidRPr="00564002">
        <w:rPr>
          <w:i/>
          <w:iCs/>
        </w:rPr>
        <w:t>BMC Public Health</w:t>
      </w:r>
      <w:r w:rsidR="000815CA" w:rsidRPr="00564002">
        <w:t>. 2025;25:2397. doi:10.1186/s12889-025-23352-5</w:t>
      </w:r>
    </w:p>
    <w:p w14:paraId="34ADF30D" w14:textId="61D417CE" w:rsidR="00FD4628" w:rsidRDefault="00FD4628" w:rsidP="00890E8A">
      <w:pPr>
        <w:spacing w:line="480" w:lineRule="auto"/>
      </w:pPr>
      <w:r>
        <w:t>[42]</w:t>
      </w:r>
      <w:r w:rsidR="00FA26AD">
        <w:t xml:space="preserve"> </w:t>
      </w:r>
      <w:r w:rsidR="00FA26AD" w:rsidRPr="00564002">
        <w:t xml:space="preserve">Morys F, Dadar M, Dagher A. Association between midlife obesity and its metabolic consequences, cerebrovascular disease, and cognitive decline. </w:t>
      </w:r>
      <w:r w:rsidR="00FA26AD" w:rsidRPr="00564002">
        <w:rPr>
          <w:i/>
          <w:iCs/>
        </w:rPr>
        <w:t xml:space="preserve">J Clin Endocrinol </w:t>
      </w:r>
      <w:proofErr w:type="spellStart"/>
      <w:r w:rsidR="00FA26AD" w:rsidRPr="00564002">
        <w:rPr>
          <w:i/>
          <w:iCs/>
        </w:rPr>
        <w:t>Metab</w:t>
      </w:r>
      <w:proofErr w:type="spellEnd"/>
      <w:r w:rsidR="00FA26AD" w:rsidRPr="00564002">
        <w:t>. 2021;106(10):e4260–74. doi:10.1210/</w:t>
      </w:r>
      <w:proofErr w:type="spellStart"/>
      <w:r w:rsidR="00FA26AD" w:rsidRPr="00564002">
        <w:t>clinem</w:t>
      </w:r>
      <w:proofErr w:type="spellEnd"/>
      <w:r w:rsidR="00FA26AD" w:rsidRPr="00564002">
        <w:t>/dgab421</w:t>
      </w:r>
    </w:p>
    <w:p w14:paraId="52E7CC16" w14:textId="016B9C24" w:rsidR="00FD4628" w:rsidRDefault="00FD4628" w:rsidP="00890E8A">
      <w:pPr>
        <w:spacing w:line="480" w:lineRule="auto"/>
      </w:pPr>
      <w:r>
        <w:t>[43]</w:t>
      </w:r>
      <w:r w:rsidR="00D661FD">
        <w:t xml:space="preserve"> </w:t>
      </w:r>
      <w:r w:rsidR="00D661FD" w:rsidRPr="00564002">
        <w:t xml:space="preserve">Kim JH, Lee Y. Dementia and death after stroke in older adults during a 10-year follow-up: results from a competing risk model. </w:t>
      </w:r>
      <w:r w:rsidR="00D661FD" w:rsidRPr="00564002">
        <w:rPr>
          <w:i/>
          <w:iCs/>
        </w:rPr>
        <w:t xml:space="preserve">J </w:t>
      </w:r>
      <w:proofErr w:type="spellStart"/>
      <w:r w:rsidR="00D661FD" w:rsidRPr="00564002">
        <w:rPr>
          <w:i/>
          <w:iCs/>
        </w:rPr>
        <w:t>Nutr</w:t>
      </w:r>
      <w:proofErr w:type="spellEnd"/>
      <w:r w:rsidR="00D661FD" w:rsidRPr="00564002">
        <w:rPr>
          <w:i/>
          <w:iCs/>
        </w:rPr>
        <w:t xml:space="preserve"> Health Aging</w:t>
      </w:r>
      <w:r w:rsidR="00D661FD" w:rsidRPr="00564002">
        <w:t>. 2018;22(2):297–301. doi:10.1007/s12603-017-0914-3</w:t>
      </w:r>
    </w:p>
    <w:p w14:paraId="438E52BB" w14:textId="5CD4063D" w:rsidR="00FD4628" w:rsidRDefault="00FD4628" w:rsidP="00890E8A">
      <w:pPr>
        <w:spacing w:line="480" w:lineRule="auto"/>
      </w:pPr>
      <w:r>
        <w:t>[44]</w:t>
      </w:r>
      <w:r w:rsidR="002B570D">
        <w:t xml:space="preserve"> </w:t>
      </w:r>
      <w:r w:rsidR="002B570D" w:rsidRPr="00564002">
        <w:t xml:space="preserve">Office for National Statistics. </w:t>
      </w:r>
      <w:r w:rsidR="002B570D" w:rsidRPr="00564002">
        <w:rPr>
          <w:i/>
          <w:iCs/>
        </w:rPr>
        <w:t>Adult smoking habits in the UK: 2023</w:t>
      </w:r>
      <w:r w:rsidR="002B570D" w:rsidRPr="00564002">
        <w:t xml:space="preserve">. Cigarette smoking habits among adults in the UK, including how many people smoke, differences between population groups, changes over time and use of e-cigarettes. Published 1 October 2024. Available from: </w:t>
      </w:r>
      <w:hyperlink r:id="rId10" w:history="1">
        <w:r w:rsidR="002B570D" w:rsidRPr="00564002">
          <w:rPr>
            <w:rStyle w:val="Hyperlink"/>
          </w:rPr>
          <w:t>https://www.ons.gov.uk/peoplepopulationandcommunity/healthandsocialcare/healthandlifeexpectancies/bulletins/adultsmokinghabitsingreatbritain/2023</w:t>
        </w:r>
      </w:hyperlink>
      <w:r w:rsidR="002B570D" w:rsidRPr="00564002">
        <w:t xml:space="preserve"> (Accessed 27 October 2025).</w:t>
      </w:r>
    </w:p>
    <w:p w14:paraId="7D18BDF9" w14:textId="5D7AD1BC" w:rsidR="00FD4628" w:rsidRDefault="00FD4628" w:rsidP="00890E8A">
      <w:pPr>
        <w:spacing w:line="480" w:lineRule="auto"/>
      </w:pPr>
      <w:r>
        <w:t>[45]</w:t>
      </w:r>
      <w:r w:rsidR="00992757">
        <w:t xml:space="preserve"> </w:t>
      </w:r>
      <w:r w:rsidR="00992757" w:rsidRPr="00564002">
        <w:t xml:space="preserve">British Heart Foundation. </w:t>
      </w:r>
      <w:r w:rsidR="00992757" w:rsidRPr="00564002">
        <w:rPr>
          <w:i/>
          <w:iCs/>
        </w:rPr>
        <w:t>BHF cardiovascular disease statistics compendium 2023.</w:t>
      </w:r>
      <w:r w:rsidR="00992757" w:rsidRPr="00564002">
        <w:t xml:space="preserve"> London: British Heart Foundation; 2023. Available from: </w:t>
      </w:r>
      <w:hyperlink r:id="rId11" w:tgtFrame="_new" w:history="1">
        <w:r w:rsidR="00992757" w:rsidRPr="00564002">
          <w:rPr>
            <w:rStyle w:val="Hyperlink"/>
          </w:rPr>
          <w:t>https://www.bhf.org.uk/-/media/files/for-professionals/research/heart-statistics/bhf-statistics-compendium-2023</w:t>
        </w:r>
      </w:hyperlink>
      <w:r w:rsidR="00992757" w:rsidRPr="00564002">
        <w:t xml:space="preserve"> (Accessed 27 October 2025).</w:t>
      </w:r>
    </w:p>
    <w:p w14:paraId="409F1EF4" w14:textId="6CF17D6E" w:rsidR="00FD4628" w:rsidRDefault="00715F7F" w:rsidP="00890E8A">
      <w:pPr>
        <w:spacing w:line="480" w:lineRule="auto"/>
      </w:pPr>
      <w:r>
        <w:t>[46]</w:t>
      </w:r>
      <w:r w:rsidR="003E0DA2">
        <w:t xml:space="preserve"> </w:t>
      </w:r>
      <w:r w:rsidR="003E0DA2" w:rsidRPr="00564002">
        <w:t xml:space="preserve">Department of Health and Social Care. </w:t>
      </w:r>
      <w:r w:rsidR="003E0DA2" w:rsidRPr="00564002">
        <w:rPr>
          <w:i/>
          <w:iCs/>
        </w:rPr>
        <w:t>Diabetes profile.</w:t>
      </w:r>
      <w:r w:rsidR="003E0DA2" w:rsidRPr="00564002">
        <w:t xml:space="preserve"> Fingertips data. Available from: </w:t>
      </w:r>
      <w:hyperlink r:id="rId12" w:anchor="page/1/gid/1938133438/pat/159/par/K02000001/ati/15/are/E92000001/yrr/1/cid/4/tbm/1" w:tgtFrame="_new" w:history="1">
        <w:r w:rsidR="003E0DA2" w:rsidRPr="00564002">
          <w:rPr>
            <w:rStyle w:val="Hyperlink"/>
          </w:rPr>
          <w:t>https://fingertips.phe.org.uk/profile/diabetes-ft/data#page/1/gid/1938133438/pat/159/par/K02000001/ati/15/are/E92000001/yrr/1/cid/4/tbm/1</w:t>
        </w:r>
      </w:hyperlink>
      <w:r w:rsidR="003E0DA2" w:rsidRPr="00564002">
        <w:t xml:space="preserve"> (Accessed 27 October 2025).</w:t>
      </w:r>
    </w:p>
    <w:p w14:paraId="0BA51E5B" w14:textId="2E43C588" w:rsidR="003E0DA2" w:rsidRDefault="003E0DA2" w:rsidP="00890E8A">
      <w:pPr>
        <w:spacing w:line="480" w:lineRule="auto"/>
      </w:pPr>
      <w:r>
        <w:t>[47]</w:t>
      </w:r>
      <w:r w:rsidR="00AD6CC1">
        <w:t xml:space="preserve"> </w:t>
      </w:r>
      <w:r w:rsidR="00AD6CC1" w:rsidRPr="00564002">
        <w:t xml:space="preserve">Alzheimer’s Society. </w:t>
      </w:r>
      <w:r w:rsidR="00AD6CC1" w:rsidRPr="00564002">
        <w:rPr>
          <w:i/>
          <w:iCs/>
        </w:rPr>
        <w:t>The economic impact of dementia – Module 1: Annual costs of dementia.</w:t>
      </w:r>
      <w:r w:rsidR="00AD6CC1" w:rsidRPr="00564002">
        <w:t xml:space="preserve"> London: Alzheimer’s Society; 2024 May [cited 2025 Oct 24]. Available from: </w:t>
      </w:r>
      <w:hyperlink r:id="rId13" w:tgtFrame="_new" w:history="1">
        <w:r w:rsidR="00AD6CC1" w:rsidRPr="00564002">
          <w:rPr>
            <w:rStyle w:val="Hyperlink"/>
          </w:rPr>
          <w:t>https://www.alzheimers.org.uk/sites/default/files/2024-05/the-annual-costs-of-dementia.pdf</w:t>
        </w:r>
      </w:hyperlink>
    </w:p>
    <w:p w14:paraId="4419BAF5" w14:textId="29182897" w:rsidR="003E0DA2" w:rsidRDefault="003E0DA2" w:rsidP="00890E8A">
      <w:pPr>
        <w:spacing w:line="480" w:lineRule="auto"/>
      </w:pPr>
      <w:r>
        <w:t>[48]</w:t>
      </w:r>
      <w:r w:rsidR="00804016">
        <w:t xml:space="preserve"> </w:t>
      </w:r>
      <w:r w:rsidR="00804016" w:rsidRPr="00564002">
        <w:t>HM Treasury</w:t>
      </w:r>
      <w:r w:rsidR="00804016" w:rsidRPr="00564002">
        <w:rPr>
          <w:i/>
          <w:iCs/>
        </w:rPr>
        <w:t>. GDP deflators at market prices, and money GDP: March 2025 (Spring Statement &amp; Quarterly National Accounts)</w:t>
      </w:r>
      <w:r w:rsidR="00804016" w:rsidRPr="00564002">
        <w:t xml:space="preserve"> [Internet]. London: HM Treasury; 2025 Mar [cited 2025 Oct 24]. Available from: </w:t>
      </w:r>
      <w:hyperlink r:id="rId14" w:history="1">
        <w:r w:rsidR="00804016" w:rsidRPr="00564002">
          <w:rPr>
            <w:rStyle w:val="Hyperlink"/>
          </w:rPr>
          <w:t>https://www.gov.uk/government/statistics/gdp-deflators-at-market-prices-and-money-gdp-march-2025-spring-statement-quarterly-national-accounts</w:t>
        </w:r>
      </w:hyperlink>
    </w:p>
    <w:p w14:paraId="050F83B6" w14:textId="18BF84C1" w:rsidR="00804016" w:rsidRDefault="00804016" w:rsidP="00890E8A">
      <w:pPr>
        <w:spacing w:line="480" w:lineRule="auto"/>
      </w:pPr>
      <w:r>
        <w:t>[49]</w:t>
      </w:r>
      <w:r w:rsidR="00EC4EF4">
        <w:t xml:space="preserve"> </w:t>
      </w:r>
      <w:r w:rsidR="00EC4EF4" w:rsidRPr="00564002">
        <w:t xml:space="preserve">Višnjić A, Veličković V, </w:t>
      </w:r>
      <w:proofErr w:type="spellStart"/>
      <w:r w:rsidR="00EC4EF4" w:rsidRPr="00564002">
        <w:t>Milosavljević</w:t>
      </w:r>
      <w:proofErr w:type="spellEnd"/>
      <w:r w:rsidR="00EC4EF4" w:rsidRPr="00564002">
        <w:t xml:space="preserve"> NŠ. QALY: measure of cost–benefit analysis of health interventions. </w:t>
      </w:r>
      <w:r w:rsidR="00EC4EF4" w:rsidRPr="00564002">
        <w:rPr>
          <w:i/>
          <w:iCs/>
        </w:rPr>
        <w:t xml:space="preserve">Acta </w:t>
      </w:r>
      <w:proofErr w:type="spellStart"/>
      <w:r w:rsidR="00EC4EF4" w:rsidRPr="00564002">
        <w:rPr>
          <w:i/>
          <w:iCs/>
        </w:rPr>
        <w:t>Fac</w:t>
      </w:r>
      <w:proofErr w:type="spellEnd"/>
      <w:r w:rsidR="00EC4EF4" w:rsidRPr="00564002">
        <w:rPr>
          <w:i/>
          <w:iCs/>
        </w:rPr>
        <w:t xml:space="preserve"> Med </w:t>
      </w:r>
      <w:proofErr w:type="spellStart"/>
      <w:r w:rsidR="00EC4EF4" w:rsidRPr="00564002">
        <w:rPr>
          <w:i/>
          <w:iCs/>
        </w:rPr>
        <w:t>Naiss</w:t>
      </w:r>
      <w:proofErr w:type="spellEnd"/>
      <w:r w:rsidR="00EC4EF4" w:rsidRPr="00564002">
        <w:t>. 2011;28(4):195–199.</w:t>
      </w:r>
    </w:p>
    <w:p w14:paraId="5FEF7632" w14:textId="59E794D1" w:rsidR="00EC4EF4" w:rsidRDefault="00EC4EF4" w:rsidP="00890E8A">
      <w:pPr>
        <w:spacing w:line="480" w:lineRule="auto"/>
      </w:pPr>
      <w:r>
        <w:lastRenderedPageBreak/>
        <w:t>[50]</w:t>
      </w:r>
      <w:r w:rsidR="00CA3E8C">
        <w:t xml:space="preserve"> </w:t>
      </w:r>
      <w:r w:rsidR="00CA3E8C" w:rsidRPr="00564002">
        <w:t xml:space="preserve">Mukadam N, Anderson R, Walsh S, Wittenberg R, Knapp M, </w:t>
      </w:r>
      <w:proofErr w:type="spellStart"/>
      <w:r w:rsidR="00CA3E8C" w:rsidRPr="00564002">
        <w:t>Brayne</w:t>
      </w:r>
      <w:proofErr w:type="spellEnd"/>
      <w:r w:rsidR="00CA3E8C" w:rsidRPr="00564002">
        <w:t xml:space="preserve"> C, Livingston G. Benefits of population-level interventions for dementia risk factors: an economic modelling study for England. </w:t>
      </w:r>
      <w:r w:rsidR="00CA3E8C" w:rsidRPr="00564002">
        <w:rPr>
          <w:i/>
          <w:iCs/>
        </w:rPr>
        <w:t>Lancet Healthy Longev</w:t>
      </w:r>
      <w:r w:rsidR="00CA3E8C" w:rsidRPr="00564002">
        <w:t>. 2024;5(9):e567–e577. doi:10.1016/S2666-7568(24)00156-3</w:t>
      </w:r>
    </w:p>
    <w:p w14:paraId="4FB1BDE2" w14:textId="0DF7B942" w:rsidR="00EC4EF4" w:rsidRDefault="00EC4EF4" w:rsidP="00890E8A">
      <w:pPr>
        <w:spacing w:line="480" w:lineRule="auto"/>
      </w:pPr>
      <w:r>
        <w:t>[51]</w:t>
      </w:r>
      <w:r w:rsidR="00DD3F24">
        <w:t xml:space="preserve"> </w:t>
      </w:r>
      <w:r w:rsidR="00DD3F24" w:rsidRPr="00564002">
        <w:t xml:space="preserve">Kind P, Hardman G, </w:t>
      </w:r>
      <w:proofErr w:type="spellStart"/>
      <w:r w:rsidR="00DD3F24" w:rsidRPr="00564002">
        <w:t>Macran</w:t>
      </w:r>
      <w:proofErr w:type="spellEnd"/>
      <w:r w:rsidR="00DD3F24" w:rsidRPr="00564002">
        <w:t xml:space="preserve"> S. </w:t>
      </w:r>
      <w:r w:rsidR="00DD3F24" w:rsidRPr="00564002">
        <w:rPr>
          <w:i/>
          <w:iCs/>
        </w:rPr>
        <w:t>UK population norms for EQ-5D.</w:t>
      </w:r>
      <w:r w:rsidR="00DD3F24" w:rsidRPr="00564002">
        <w:t xml:space="preserve"> York: Centre for Health Economics, University of York; 1999 Nov. Report No.: 172.</w:t>
      </w:r>
    </w:p>
    <w:p w14:paraId="186FFE37" w14:textId="0F9289A3" w:rsidR="00EC4EF4" w:rsidRDefault="00EC4EF4" w:rsidP="00890E8A">
      <w:pPr>
        <w:spacing w:line="480" w:lineRule="auto"/>
      </w:pPr>
      <w:r>
        <w:t>[52]</w:t>
      </w:r>
      <w:r w:rsidR="00B42D74">
        <w:t xml:space="preserve"> </w:t>
      </w:r>
      <w:r w:rsidR="00B42D74" w:rsidRPr="00564002">
        <w:t xml:space="preserve">Reed C, Barrett A, </w:t>
      </w:r>
      <w:proofErr w:type="spellStart"/>
      <w:r w:rsidR="00B42D74" w:rsidRPr="00564002">
        <w:t>Lebrec</w:t>
      </w:r>
      <w:proofErr w:type="spellEnd"/>
      <w:r w:rsidR="00B42D74" w:rsidRPr="00564002">
        <w:t xml:space="preserve"> J, et al. How useful is the EQ-5D in assessing the impact of caring for people with Alzheimer’s disease? </w:t>
      </w:r>
      <w:r w:rsidR="00B42D74" w:rsidRPr="00564002">
        <w:rPr>
          <w:i/>
          <w:iCs/>
        </w:rPr>
        <w:t>Health Qual Life Outcomes</w:t>
      </w:r>
      <w:r w:rsidR="00B42D74" w:rsidRPr="00564002">
        <w:t>. 2017;15:16. doi:10.1186/s12955-017-0591-2</w:t>
      </w:r>
    </w:p>
    <w:p w14:paraId="646D96D1" w14:textId="184DDD15" w:rsidR="00EC4EF4" w:rsidRDefault="00EC4EF4" w:rsidP="00890E8A">
      <w:pPr>
        <w:spacing w:line="480" w:lineRule="auto"/>
      </w:pPr>
      <w:r>
        <w:t>[53]</w:t>
      </w:r>
      <w:r w:rsidR="00E308D0">
        <w:t xml:space="preserve"> </w:t>
      </w:r>
      <w:r w:rsidR="00E308D0" w:rsidRPr="00564002">
        <w:t xml:space="preserve">National Institute for Health and Care Excellence (NICE). </w:t>
      </w:r>
      <w:r w:rsidR="00E308D0" w:rsidRPr="00564002">
        <w:rPr>
          <w:i/>
          <w:iCs/>
        </w:rPr>
        <w:t>Guide to the methods of technology appraisal. Process and methods [PMG9]</w:t>
      </w:r>
      <w:r w:rsidR="00E308D0" w:rsidRPr="00564002">
        <w:t>. London: National Institute for Health and Care Excellence; 2013.</w:t>
      </w:r>
    </w:p>
    <w:p w14:paraId="393E5DB9" w14:textId="3B795657" w:rsidR="00E308D0" w:rsidRPr="003202E4" w:rsidRDefault="00E308D0" w:rsidP="00890E8A">
      <w:pPr>
        <w:spacing w:line="480" w:lineRule="auto"/>
      </w:pPr>
      <w:r>
        <w:t>[54]</w:t>
      </w:r>
      <w:r w:rsidR="008527EB">
        <w:t xml:space="preserve"> </w:t>
      </w:r>
      <w:r w:rsidR="008527EB" w:rsidRPr="00267555">
        <w:t xml:space="preserve">O’Hagan A, Stevenson M, Madan J. </w:t>
      </w:r>
      <w:r w:rsidR="008527EB" w:rsidRPr="00267555">
        <w:rPr>
          <w:i/>
          <w:iCs/>
        </w:rPr>
        <w:t>Monte Carlo probabilistic sensitivity analysis for patient level simulation models</w:t>
      </w:r>
      <w:r w:rsidR="008527EB" w:rsidRPr="00267555">
        <w:t>. Sheffield: University of Sheffield, Department of Probability and Statistics; 2005 Aug 8.</w:t>
      </w:r>
    </w:p>
    <w:sectPr w:rsidR="00E308D0" w:rsidRPr="003202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B31"/>
    <w:rsid w:val="0000620F"/>
    <w:rsid w:val="000124E6"/>
    <w:rsid w:val="000264DA"/>
    <w:rsid w:val="0003070A"/>
    <w:rsid w:val="00037999"/>
    <w:rsid w:val="000815CA"/>
    <w:rsid w:val="000B098C"/>
    <w:rsid w:val="000E1B44"/>
    <w:rsid w:val="000F1A93"/>
    <w:rsid w:val="0017022B"/>
    <w:rsid w:val="00177B3C"/>
    <w:rsid w:val="00181F86"/>
    <w:rsid w:val="00190E8D"/>
    <w:rsid w:val="001A178A"/>
    <w:rsid w:val="001B24BB"/>
    <w:rsid w:val="00236453"/>
    <w:rsid w:val="00257EEA"/>
    <w:rsid w:val="002B570D"/>
    <w:rsid w:val="002D3C18"/>
    <w:rsid w:val="00301CCE"/>
    <w:rsid w:val="003202E4"/>
    <w:rsid w:val="00375FB1"/>
    <w:rsid w:val="00380004"/>
    <w:rsid w:val="00382053"/>
    <w:rsid w:val="0039762C"/>
    <w:rsid w:val="003D6716"/>
    <w:rsid w:val="003E0DA2"/>
    <w:rsid w:val="0044051F"/>
    <w:rsid w:val="004746BC"/>
    <w:rsid w:val="004877B3"/>
    <w:rsid w:val="004A06EE"/>
    <w:rsid w:val="004C1B14"/>
    <w:rsid w:val="00517D27"/>
    <w:rsid w:val="005227E3"/>
    <w:rsid w:val="00574288"/>
    <w:rsid w:val="005E06DB"/>
    <w:rsid w:val="00620A94"/>
    <w:rsid w:val="00690F7C"/>
    <w:rsid w:val="00696FF5"/>
    <w:rsid w:val="00715F7F"/>
    <w:rsid w:val="00731CEE"/>
    <w:rsid w:val="0076456C"/>
    <w:rsid w:val="00775D85"/>
    <w:rsid w:val="007A2296"/>
    <w:rsid w:val="007E580E"/>
    <w:rsid w:val="007F3DB7"/>
    <w:rsid w:val="00804016"/>
    <w:rsid w:val="008277EA"/>
    <w:rsid w:val="008445DC"/>
    <w:rsid w:val="008527EB"/>
    <w:rsid w:val="0086705D"/>
    <w:rsid w:val="00890E8A"/>
    <w:rsid w:val="008D3090"/>
    <w:rsid w:val="008E496A"/>
    <w:rsid w:val="00911285"/>
    <w:rsid w:val="00912472"/>
    <w:rsid w:val="0092668F"/>
    <w:rsid w:val="00977B2A"/>
    <w:rsid w:val="00992757"/>
    <w:rsid w:val="00997D55"/>
    <w:rsid w:val="009D5006"/>
    <w:rsid w:val="009F2807"/>
    <w:rsid w:val="00A13A7A"/>
    <w:rsid w:val="00A367D7"/>
    <w:rsid w:val="00AA5869"/>
    <w:rsid w:val="00AD4AD5"/>
    <w:rsid w:val="00AD6CC1"/>
    <w:rsid w:val="00B42D74"/>
    <w:rsid w:val="00B452D0"/>
    <w:rsid w:val="00B654DE"/>
    <w:rsid w:val="00B750D8"/>
    <w:rsid w:val="00B9496D"/>
    <w:rsid w:val="00C10F79"/>
    <w:rsid w:val="00C625D2"/>
    <w:rsid w:val="00C8653A"/>
    <w:rsid w:val="00CA3E8C"/>
    <w:rsid w:val="00D15418"/>
    <w:rsid w:val="00D2698A"/>
    <w:rsid w:val="00D374ED"/>
    <w:rsid w:val="00D45AE0"/>
    <w:rsid w:val="00D473C2"/>
    <w:rsid w:val="00D47835"/>
    <w:rsid w:val="00D661FD"/>
    <w:rsid w:val="00DB6E2A"/>
    <w:rsid w:val="00DD3F24"/>
    <w:rsid w:val="00DE1D9A"/>
    <w:rsid w:val="00E308D0"/>
    <w:rsid w:val="00E664C7"/>
    <w:rsid w:val="00E77511"/>
    <w:rsid w:val="00EC4EF4"/>
    <w:rsid w:val="00F07726"/>
    <w:rsid w:val="00F134BB"/>
    <w:rsid w:val="00F26DCB"/>
    <w:rsid w:val="00F34B31"/>
    <w:rsid w:val="00F779BD"/>
    <w:rsid w:val="00FA26AD"/>
    <w:rsid w:val="00FD0C39"/>
    <w:rsid w:val="00FD462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42EC1"/>
  <w15:chartTrackingRefBased/>
  <w15:docId w15:val="{D79C6F26-AA4E-4F5E-8C67-60F0FB097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4B31"/>
  </w:style>
  <w:style w:type="paragraph" w:styleId="Heading1">
    <w:name w:val="heading 1"/>
    <w:basedOn w:val="Normal"/>
    <w:next w:val="Normal"/>
    <w:link w:val="Heading1Char"/>
    <w:uiPriority w:val="9"/>
    <w:qFormat/>
    <w:rsid w:val="00F34B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4B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4B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4B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4B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4B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4B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4B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4B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4B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4B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4B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4B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4B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4B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4B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4B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4B31"/>
    <w:rPr>
      <w:rFonts w:eastAsiaTheme="majorEastAsia" w:cstheme="majorBidi"/>
      <w:color w:val="272727" w:themeColor="text1" w:themeTint="D8"/>
    </w:rPr>
  </w:style>
  <w:style w:type="paragraph" w:styleId="Title">
    <w:name w:val="Title"/>
    <w:basedOn w:val="Normal"/>
    <w:next w:val="Normal"/>
    <w:link w:val="TitleChar"/>
    <w:uiPriority w:val="10"/>
    <w:qFormat/>
    <w:rsid w:val="00F34B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4B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4B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4B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4B31"/>
    <w:pPr>
      <w:spacing w:before="160"/>
      <w:jc w:val="center"/>
    </w:pPr>
    <w:rPr>
      <w:i/>
      <w:iCs/>
      <w:color w:val="404040" w:themeColor="text1" w:themeTint="BF"/>
    </w:rPr>
  </w:style>
  <w:style w:type="character" w:customStyle="1" w:styleId="QuoteChar">
    <w:name w:val="Quote Char"/>
    <w:basedOn w:val="DefaultParagraphFont"/>
    <w:link w:val="Quote"/>
    <w:uiPriority w:val="29"/>
    <w:rsid w:val="00F34B31"/>
    <w:rPr>
      <w:i/>
      <w:iCs/>
      <w:color w:val="404040" w:themeColor="text1" w:themeTint="BF"/>
    </w:rPr>
  </w:style>
  <w:style w:type="paragraph" w:styleId="ListParagraph">
    <w:name w:val="List Paragraph"/>
    <w:basedOn w:val="Normal"/>
    <w:uiPriority w:val="34"/>
    <w:qFormat/>
    <w:rsid w:val="00F34B31"/>
    <w:pPr>
      <w:ind w:left="720"/>
      <w:contextualSpacing/>
    </w:pPr>
  </w:style>
  <w:style w:type="character" w:styleId="IntenseEmphasis">
    <w:name w:val="Intense Emphasis"/>
    <w:basedOn w:val="DefaultParagraphFont"/>
    <w:uiPriority w:val="21"/>
    <w:qFormat/>
    <w:rsid w:val="00F34B31"/>
    <w:rPr>
      <w:i/>
      <w:iCs/>
      <w:color w:val="0F4761" w:themeColor="accent1" w:themeShade="BF"/>
    </w:rPr>
  </w:style>
  <w:style w:type="paragraph" w:styleId="IntenseQuote">
    <w:name w:val="Intense Quote"/>
    <w:basedOn w:val="Normal"/>
    <w:next w:val="Normal"/>
    <w:link w:val="IntenseQuoteChar"/>
    <w:uiPriority w:val="30"/>
    <w:qFormat/>
    <w:rsid w:val="00F34B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4B31"/>
    <w:rPr>
      <w:i/>
      <w:iCs/>
      <w:color w:val="0F4761" w:themeColor="accent1" w:themeShade="BF"/>
    </w:rPr>
  </w:style>
  <w:style w:type="character" w:styleId="IntenseReference">
    <w:name w:val="Intense Reference"/>
    <w:basedOn w:val="DefaultParagraphFont"/>
    <w:uiPriority w:val="32"/>
    <w:qFormat/>
    <w:rsid w:val="00F34B31"/>
    <w:rPr>
      <w:b/>
      <w:bCs/>
      <w:smallCaps/>
      <w:color w:val="0F4761" w:themeColor="accent1" w:themeShade="BF"/>
      <w:spacing w:val="5"/>
    </w:rPr>
  </w:style>
  <w:style w:type="character" w:styleId="Hyperlink">
    <w:name w:val="Hyperlink"/>
    <w:basedOn w:val="DefaultParagraphFont"/>
    <w:uiPriority w:val="99"/>
    <w:unhideWhenUsed/>
    <w:rsid w:val="0086705D"/>
    <w:rPr>
      <w:color w:val="467886" w:themeColor="hyperlink"/>
      <w:u w:val="single"/>
    </w:rPr>
  </w:style>
  <w:style w:type="table" w:styleId="TableGrid">
    <w:name w:val="Table Grid"/>
    <w:basedOn w:val="TableNormal"/>
    <w:uiPriority w:val="39"/>
    <w:rsid w:val="00D374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gital.nhs.uk/data-and-information/publications/statistical/primary-care-dementia-data/december-2023?utm_source=chatgpt.com" TargetMode="External"/><Relationship Id="rId13" Type="http://schemas.openxmlformats.org/officeDocument/2006/relationships/hyperlink" Target="https://www.alzheimers.org.uk/sites/default/files/2024-05/the-annual-costs-of-dementia.pdf?utm_source=chatgpt.com" TargetMode="External"/><Relationship Id="rId3" Type="http://schemas.openxmlformats.org/officeDocument/2006/relationships/webSettings" Target="webSettings.xml"/><Relationship Id="rId7" Type="http://schemas.openxmlformats.org/officeDocument/2006/relationships/hyperlink" Target="https://www.ons.gov.uk/peoplepopulationandcommunity/populationandmigration/populationprojections/datasets/regionsinenglandtable1" TargetMode="External"/><Relationship Id="rId12" Type="http://schemas.openxmlformats.org/officeDocument/2006/relationships/hyperlink" Target="https://fingertips.phe.org.uk/profile/diabetes-ft/data"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ons.gov.uk/peoplepopulationandcommunity/populationandmigration/populationestimates/datasets/estimatesofthepopulationforenglandandwales" TargetMode="External"/><Relationship Id="rId11" Type="http://schemas.openxmlformats.org/officeDocument/2006/relationships/hyperlink" Target="https://www.bhf.org.uk/-/media/files/for-professionals/research/heart-statistics/bhf-statistics-compendium-2023" TargetMode="External"/><Relationship Id="rId5" Type="http://schemas.openxmlformats.org/officeDocument/2006/relationships/hyperlink" Target="https://population.un.org/wpp/Download/Standard/Population/" TargetMode="External"/><Relationship Id="rId15" Type="http://schemas.openxmlformats.org/officeDocument/2006/relationships/fontTable" Target="fontTable.xml"/><Relationship Id="rId10" Type="http://schemas.openxmlformats.org/officeDocument/2006/relationships/hyperlink" Target="https://www.ons.gov.uk/peoplepopulationandcommunity/healthandsocialcare/healthandlifeexpectancies/bulletins/adultsmokinghabitsingreatbritain/2023" TargetMode="External"/><Relationship Id="rId4" Type="http://schemas.openxmlformats.org/officeDocument/2006/relationships/hyperlink" Target="https://www.gov.uk/government/statistics/adult-oral-health-survey-2021" TargetMode="External"/><Relationship Id="rId9" Type="http://schemas.openxmlformats.org/officeDocument/2006/relationships/hyperlink" Target="https://www.gov.uk/government/publications/delivering-better-oral-health" TargetMode="External"/><Relationship Id="rId14" Type="http://schemas.openxmlformats.org/officeDocument/2006/relationships/hyperlink" Target="https://www.gov.uk/government/statistics/gdp-deflators-at-market-prices-and-money-gdp-march-2025-spring-statement-quarterly-national-accou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3980</Words>
  <Characters>24123</Characters>
  <Application>Microsoft Office Word</Application>
  <DocSecurity>0</DocSecurity>
  <Lines>402</Lines>
  <Paragraphs>109</Paragraphs>
  <ScaleCrop>false</ScaleCrop>
  <Company/>
  <LinksUpToDate>false</LinksUpToDate>
  <CharactersWithSpaces>27994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Coote</dc:creator>
  <cp:keywords/>
  <dc:description/>
  <cp:lastModifiedBy>Edward Coote</cp:lastModifiedBy>
  <cp:revision>94</cp:revision>
  <dcterms:created xsi:type="dcterms:W3CDTF">2025-11-26T13:53:00Z</dcterms:created>
  <dcterms:modified xsi:type="dcterms:W3CDTF">2025-11-26T14:53:00Z</dcterms:modified>
</cp:coreProperties>
</file>