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4E79"/>
          <w:sz w:val="52"/>
        </w:rPr>
        <w:t>README</w:t>
      </w:r>
    </w:p>
    <w:p>
      <w:pPr>
        <w:jc w:val="center"/>
      </w:pPr>
      <w:r>
        <w:rPr>
          <w:rFonts w:ascii="Segoe UI" w:hAnsi="Segoe UI"/>
          <w:color w:val="666666"/>
          <w:sz w:val="22"/>
        </w:rPr>
        <w:t>Project guide and submission documentation</w:t>
      </w:r>
    </w:p>
    <w:tbl>
      <w:tblPr>
        <w:tblW w:type="auto" w:w="0"/>
        <w:jc w:val="center"/>
        <w:tblLayout w:type="fixed"/>
        <w:tblLook w:firstColumn="1" w:firstRow="1" w:lastColumn="0" w:lastRow="0" w:noHBand="0" w:noVBand="1" w:val="04A0"/>
      </w:tblPr>
      <w:tblGrid>
        <w:gridCol w:w="9792"/>
      </w:tblGrid>
      <w:tr>
        <w:tc>
          <w:tcPr>
            <w:tcW w:type="dxa" w:w="10224"/>
            <w:shd w:fill="1F4E79"/>
          </w:tcPr>
          <w:p>
            <w:r/>
          </w:p>
        </w:tc>
      </w:tr>
    </w:tbl>
    <w:p/>
    <w:p>
      <w:pPr>
        <w:pStyle w:val="Heading1"/>
      </w:pPr>
      <w:r>
        <w:t>1. Project Overview</w:t>
      </w:r>
    </w:p>
    <w:p>
      <w:r>
        <w:t>India State-Wise Development Analysis is a Power BI-based analytical dashboard that compares development performance across 20 Indian states using a composite Development Score. The project combines economic, employment, education, health and digital indicators into a single comparable framework for state-level analysis.</w:t>
      </w:r>
    </w:p>
    <w:p>
      <w:pPr>
        <w:pStyle w:val="Heading1"/>
      </w:pPr>
      <w:r>
        <w:t>2. Project Objective</w:t>
      </w:r>
    </w:p>
    <w:p>
      <w:pPr>
        <w:pStyle w:val="ListBullet"/>
        <w:spacing w:after="80"/>
      </w:pPr>
      <w:r>
        <w:t>Compare development levels across Indian states.</w:t>
      </w:r>
    </w:p>
    <w:p>
      <w:pPr>
        <w:pStyle w:val="ListBullet"/>
        <w:spacing w:after="80"/>
      </w:pPr>
      <w:r>
        <w:t>Build a Composite Development Index using multiple indicators.</w:t>
      </w:r>
    </w:p>
    <w:p>
      <w:pPr>
        <w:pStyle w:val="ListBullet"/>
        <w:spacing w:after="80"/>
      </w:pPr>
      <w:r>
        <w:t>Identify high-performing and low-performing states.</w:t>
      </w:r>
    </w:p>
    <w:p>
      <w:pPr>
        <w:pStyle w:val="ListBullet"/>
        <w:spacing w:after="80"/>
      </w:pPr>
      <w:r>
        <w:t>Analyse the relationship between income and development.</w:t>
      </w:r>
    </w:p>
    <w:p>
      <w:pPr>
        <w:pStyle w:val="ListBullet"/>
        <w:spacing w:after="80"/>
      </w:pPr>
      <w:r>
        <w:t>Provide evidence-based policy recommendations.</w:t>
      </w:r>
    </w:p>
    <w:p>
      <w:pPr>
        <w:pStyle w:val="Heading1"/>
      </w:pPr>
      <w:r>
        <w:t>3. Project Scope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1F4E79"/>
            <w:vAlign w:val="center"/>
          </w:tcPr>
          <w:p>
            <w:pPr>
              <w:jc w:val="center"/>
            </w:pPr>
            <w:r>
              <w:rPr>
                <w:b/>
                <w:color w:val="FFFFFF"/>
                <w:sz w:val="18"/>
              </w:rPr>
              <w:t>Item</w:t>
            </w:r>
          </w:p>
        </w:tc>
        <w:tc>
          <w:tcPr>
            <w:tcW w:type="dxa" w:w="5112"/>
            <w:shd w:fill="1F4E79"/>
            <w:vAlign w:val="center"/>
          </w:tcPr>
          <w:p>
            <w:pPr>
              <w:jc w:val="center"/>
            </w:pPr>
            <w:r>
              <w:rPr>
                <w:b/>
                <w:color w:val="FFFFFF"/>
                <w:sz w:val="18"/>
              </w:rPr>
              <w:t>Details</w:t>
            </w:r>
          </w:p>
        </w:tc>
      </w:tr>
      <w:tr>
        <w:tc>
          <w:tcPr>
            <w:tcW w:type="dxa" w:w="5112"/>
            <w:vAlign w:val="center"/>
          </w:tcPr>
          <w:p>
            <w:pPr>
              <w:jc w:val="center"/>
            </w:pPr>
            <w:r>
              <w:rPr>
                <w:sz w:val="18"/>
              </w:rPr>
              <w:t>States analysed</w:t>
            </w:r>
          </w:p>
        </w:tc>
        <w:tc>
          <w:tcPr>
            <w:tcW w:type="dxa" w:w="5112"/>
            <w:vAlign w:val="center"/>
          </w:tcPr>
          <w:p>
            <w:pPr>
              <w:jc w:val="left"/>
            </w:pPr>
            <w:r>
              <w:rPr>
                <w:sz w:val="18"/>
              </w:rPr>
              <w:t>20</w:t>
            </w:r>
          </w:p>
        </w:tc>
      </w:tr>
      <w:tr>
        <w:tc>
          <w:tcPr>
            <w:tcW w:type="dxa" w:w="5112"/>
            <w:vAlign w:val="center"/>
          </w:tcPr>
          <w:p>
            <w:pPr>
              <w:jc w:val="center"/>
            </w:pPr>
            <w:r>
              <w:rPr>
                <w:sz w:val="18"/>
              </w:rPr>
              <w:t>Data period</w:t>
            </w:r>
          </w:p>
        </w:tc>
        <w:tc>
          <w:tcPr>
            <w:tcW w:type="dxa" w:w="5112"/>
            <w:vAlign w:val="center"/>
          </w:tcPr>
          <w:p>
            <w:pPr>
              <w:jc w:val="left"/>
            </w:pPr>
            <w:r>
              <w:rPr>
                <w:sz w:val="18"/>
              </w:rPr>
              <w:t>2023-24</w:t>
            </w:r>
          </w:p>
        </w:tc>
      </w:tr>
      <w:tr>
        <w:tc>
          <w:tcPr>
            <w:tcW w:type="dxa" w:w="5112"/>
            <w:vAlign w:val="center"/>
          </w:tcPr>
          <w:p>
            <w:pPr>
              <w:jc w:val="center"/>
            </w:pPr>
            <w:r>
              <w:rPr>
                <w:sz w:val="18"/>
              </w:rPr>
              <w:t>Indicators</w:t>
            </w:r>
          </w:p>
        </w:tc>
        <w:tc>
          <w:tcPr>
            <w:tcW w:type="dxa" w:w="5112"/>
            <w:vAlign w:val="center"/>
          </w:tcPr>
          <w:p>
            <w:pPr>
              <w:jc w:val="left"/>
            </w:pPr>
            <w:r>
              <w:rPr>
                <w:sz w:val="18"/>
              </w:rPr>
              <w:t>7</w:t>
            </w:r>
          </w:p>
        </w:tc>
      </w:tr>
      <w:tr>
        <w:tc>
          <w:tcPr>
            <w:tcW w:type="dxa" w:w="5112"/>
            <w:vAlign w:val="center"/>
          </w:tcPr>
          <w:p>
            <w:pPr>
              <w:jc w:val="center"/>
            </w:pPr>
            <w:r>
              <w:rPr>
                <w:sz w:val="18"/>
              </w:rPr>
              <w:t>Dashboard pages</w:t>
            </w:r>
          </w:p>
        </w:tc>
        <w:tc>
          <w:tcPr>
            <w:tcW w:type="dxa" w:w="5112"/>
            <w:vAlign w:val="center"/>
          </w:tcPr>
          <w:p>
            <w:pPr>
              <w:jc w:val="left"/>
            </w:pPr>
            <w:r>
              <w:rPr>
                <w:sz w:val="18"/>
              </w:rPr>
              <w:t>4</w:t>
            </w:r>
          </w:p>
        </w:tc>
      </w:tr>
      <w:tr>
        <w:tc>
          <w:tcPr>
            <w:tcW w:type="dxa" w:w="5112"/>
            <w:vAlign w:val="center"/>
          </w:tcPr>
          <w:p>
            <w:pPr>
              <w:jc w:val="center"/>
            </w:pPr>
            <w:r>
              <w:rPr>
                <w:sz w:val="18"/>
              </w:rPr>
              <w:t>Primary tools</w:t>
            </w:r>
          </w:p>
        </w:tc>
        <w:tc>
          <w:tcPr>
            <w:tcW w:type="dxa" w:w="5112"/>
            <w:vAlign w:val="center"/>
          </w:tcPr>
          <w:p>
            <w:pPr>
              <w:jc w:val="left"/>
            </w:pPr>
            <w:r>
              <w:rPr>
                <w:sz w:val="18"/>
              </w:rPr>
              <w:t>Microsoft Excel and Power BI Desktop</w:t>
            </w:r>
          </w:p>
        </w:tc>
      </w:tr>
    </w:tbl>
    <w:p/>
    <w:p>
      <w:pPr>
        <w:pStyle w:val="Heading1"/>
      </w:pPr>
      <w:r>
        <w:t>4. Indicators and Weights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Pr>
          <w:p>
            <w:pPr>
              <w:jc w:val="center"/>
            </w:pPr>
            <w:r>
              <w:rPr>
                <w:b/>
                <w:color w:val="FFFFFF"/>
                <w:sz w:val="18"/>
              </w:rPr>
              <w:t>Raw Indicator</w:t>
            </w:r>
          </w:p>
        </w:tc>
        <w:tc>
          <w:tcPr>
            <w:tcW w:type="dxa" w:w="2556"/>
            <w:shd w:fill="1F4E79"/>
            <w:vAlign w:val="center"/>
          </w:tcPr>
          <w:p>
            <w:pPr>
              <w:jc w:val="center"/>
            </w:pPr>
            <w:r>
              <w:rPr>
                <w:b/>
                <w:color w:val="FFFFFF"/>
                <w:sz w:val="18"/>
              </w:rPr>
              <w:t>Normalized Score</w:t>
            </w:r>
          </w:p>
        </w:tc>
        <w:tc>
          <w:tcPr>
            <w:tcW w:type="dxa" w:w="2556"/>
            <w:shd w:fill="1F4E79"/>
            <w:vAlign w:val="center"/>
          </w:tcPr>
          <w:p>
            <w:pPr>
              <w:jc w:val="center"/>
            </w:pPr>
            <w:r>
              <w:rPr>
                <w:b/>
                <w:color w:val="FFFFFF"/>
                <w:sz w:val="18"/>
              </w:rPr>
              <w:t>Weight</w:t>
            </w:r>
          </w:p>
        </w:tc>
        <w:tc>
          <w:tcPr>
            <w:tcW w:type="dxa" w:w="2556"/>
            <w:shd w:fill="1F4E79"/>
            <w:vAlign w:val="center"/>
          </w:tcPr>
          <w:p>
            <w:pPr>
              <w:jc w:val="center"/>
            </w:pPr>
            <w:r>
              <w:rPr>
                <w:b/>
                <w:color w:val="FFFFFF"/>
                <w:sz w:val="18"/>
              </w:rPr>
              <w:t>Direction</w:t>
            </w:r>
          </w:p>
        </w:tc>
      </w:tr>
      <w:tr>
        <w:tc>
          <w:tcPr>
            <w:tcW w:type="dxa" w:w="2556"/>
            <w:vAlign w:val="center"/>
          </w:tcPr>
          <w:p>
            <w:pPr>
              <w:jc w:val="center"/>
            </w:pPr>
            <w:r>
              <w:rPr>
                <w:sz w:val="18"/>
              </w:rPr>
              <w:t>Per Capita Income (₹/year)</w:t>
            </w:r>
          </w:p>
        </w:tc>
        <w:tc>
          <w:tcPr>
            <w:tcW w:type="dxa" w:w="2556"/>
            <w:vAlign w:val="center"/>
          </w:tcPr>
          <w:p>
            <w:pPr>
              <w:jc w:val="left"/>
            </w:pPr>
            <w:r>
              <w:rPr>
                <w:sz w:val="18"/>
              </w:rPr>
              <w:t>PCI Score</w:t>
            </w:r>
          </w:p>
        </w:tc>
        <w:tc>
          <w:tcPr>
            <w:tcW w:type="dxa" w:w="2556"/>
            <w:vAlign w:val="center"/>
          </w:tcPr>
          <w:p>
            <w:pPr>
              <w:jc w:val="left"/>
            </w:pPr>
            <w:r>
              <w:rPr>
                <w:sz w:val="18"/>
              </w:rPr>
              <w:t>20%</w:t>
            </w:r>
          </w:p>
        </w:tc>
        <w:tc>
          <w:tcPr>
            <w:tcW w:type="dxa" w:w="2556"/>
            <w:vAlign w:val="center"/>
          </w:tcPr>
          <w:p>
            <w:pPr>
              <w:jc w:val="left"/>
            </w:pPr>
            <w:r>
              <w:rPr>
                <w:sz w:val="18"/>
              </w:rPr>
              <w:t>Higher is better</w:t>
            </w:r>
          </w:p>
        </w:tc>
      </w:tr>
      <w:tr>
        <w:tc>
          <w:tcPr>
            <w:tcW w:type="dxa" w:w="2556"/>
            <w:vAlign w:val="center"/>
          </w:tcPr>
          <w:p>
            <w:pPr>
              <w:jc w:val="center"/>
            </w:pPr>
            <w:r>
              <w:rPr>
                <w:sz w:val="18"/>
              </w:rPr>
              <w:t>GSDP Growth Rate (%)</w:t>
            </w:r>
          </w:p>
        </w:tc>
        <w:tc>
          <w:tcPr>
            <w:tcW w:type="dxa" w:w="2556"/>
            <w:vAlign w:val="center"/>
          </w:tcPr>
          <w:p>
            <w:pPr>
              <w:jc w:val="left"/>
            </w:pPr>
            <w:r>
              <w:rPr>
                <w:sz w:val="18"/>
              </w:rPr>
              <w:t>GSDP Score</w:t>
            </w:r>
          </w:p>
        </w:tc>
        <w:tc>
          <w:tcPr>
            <w:tcW w:type="dxa" w:w="2556"/>
            <w:vAlign w:val="center"/>
          </w:tcPr>
          <w:p>
            <w:pPr>
              <w:jc w:val="left"/>
            </w:pPr>
            <w:r>
              <w:rPr>
                <w:sz w:val="18"/>
              </w:rPr>
              <w:t>15%</w:t>
            </w:r>
          </w:p>
        </w:tc>
        <w:tc>
          <w:tcPr>
            <w:tcW w:type="dxa" w:w="2556"/>
            <w:vAlign w:val="center"/>
          </w:tcPr>
          <w:p>
            <w:pPr>
              <w:jc w:val="left"/>
            </w:pPr>
            <w:r>
              <w:rPr>
                <w:sz w:val="18"/>
              </w:rPr>
              <w:t>Higher is better</w:t>
            </w:r>
          </w:p>
        </w:tc>
      </w:tr>
      <w:tr>
        <w:tc>
          <w:tcPr>
            <w:tcW w:type="dxa" w:w="2556"/>
            <w:vAlign w:val="center"/>
          </w:tcPr>
          <w:p>
            <w:pPr>
              <w:jc w:val="center"/>
            </w:pPr>
            <w:r>
              <w:rPr>
                <w:sz w:val="18"/>
              </w:rPr>
              <w:t>Unemployment Rate (%)</w:t>
            </w:r>
          </w:p>
        </w:tc>
        <w:tc>
          <w:tcPr>
            <w:tcW w:type="dxa" w:w="2556"/>
            <w:vAlign w:val="center"/>
          </w:tcPr>
          <w:p>
            <w:pPr>
              <w:jc w:val="left"/>
            </w:pPr>
            <w:r>
              <w:rPr>
                <w:sz w:val="18"/>
              </w:rPr>
              <w:t>Unemployment Score</w:t>
            </w:r>
          </w:p>
        </w:tc>
        <w:tc>
          <w:tcPr>
            <w:tcW w:type="dxa" w:w="2556"/>
            <w:vAlign w:val="center"/>
          </w:tcPr>
          <w:p>
            <w:pPr>
              <w:jc w:val="left"/>
            </w:pPr>
            <w:r>
              <w:rPr>
                <w:sz w:val="18"/>
              </w:rPr>
              <w:t>15%</w:t>
            </w:r>
          </w:p>
        </w:tc>
        <w:tc>
          <w:tcPr>
            <w:tcW w:type="dxa" w:w="2556"/>
            <w:vAlign w:val="center"/>
          </w:tcPr>
          <w:p>
            <w:pPr>
              <w:jc w:val="left"/>
            </w:pPr>
            <w:r>
              <w:rPr>
                <w:sz w:val="18"/>
              </w:rPr>
              <w:t>Lower is better; reverse-normalized</w:t>
            </w:r>
          </w:p>
        </w:tc>
      </w:tr>
      <w:tr>
        <w:tc>
          <w:tcPr>
            <w:tcW w:type="dxa" w:w="2556"/>
            <w:vAlign w:val="center"/>
          </w:tcPr>
          <w:p>
            <w:pPr>
              <w:jc w:val="center"/>
            </w:pPr>
            <w:r>
              <w:rPr>
                <w:sz w:val="18"/>
              </w:rPr>
              <w:t>Literacy Rate (%)</w:t>
            </w:r>
          </w:p>
        </w:tc>
        <w:tc>
          <w:tcPr>
            <w:tcW w:type="dxa" w:w="2556"/>
            <w:vAlign w:val="center"/>
          </w:tcPr>
          <w:p>
            <w:pPr>
              <w:jc w:val="left"/>
            </w:pPr>
            <w:r>
              <w:rPr>
                <w:sz w:val="18"/>
              </w:rPr>
              <w:t>Literacy Score</w:t>
            </w:r>
          </w:p>
        </w:tc>
        <w:tc>
          <w:tcPr>
            <w:tcW w:type="dxa" w:w="2556"/>
            <w:vAlign w:val="center"/>
          </w:tcPr>
          <w:p>
            <w:pPr>
              <w:jc w:val="left"/>
            </w:pPr>
            <w:r>
              <w:rPr>
                <w:sz w:val="18"/>
              </w:rPr>
              <w:t>15%</w:t>
            </w:r>
          </w:p>
        </w:tc>
        <w:tc>
          <w:tcPr>
            <w:tcW w:type="dxa" w:w="2556"/>
            <w:vAlign w:val="center"/>
          </w:tcPr>
          <w:p>
            <w:pPr>
              <w:jc w:val="left"/>
            </w:pPr>
            <w:r>
              <w:rPr>
                <w:sz w:val="18"/>
              </w:rPr>
              <w:t>Higher is better</w:t>
            </w:r>
          </w:p>
        </w:tc>
      </w:tr>
      <w:tr>
        <w:tc>
          <w:tcPr>
            <w:tcW w:type="dxa" w:w="2556"/>
            <w:vAlign w:val="center"/>
          </w:tcPr>
          <w:p>
            <w:pPr>
              <w:jc w:val="center"/>
            </w:pPr>
            <w:r>
              <w:rPr>
                <w:sz w:val="18"/>
              </w:rPr>
              <w:t>Life Expectancy (Years)</w:t>
            </w:r>
          </w:p>
        </w:tc>
        <w:tc>
          <w:tcPr>
            <w:tcW w:type="dxa" w:w="2556"/>
            <w:vAlign w:val="center"/>
          </w:tcPr>
          <w:p>
            <w:pPr>
              <w:jc w:val="left"/>
            </w:pPr>
            <w:r>
              <w:rPr>
                <w:sz w:val="18"/>
              </w:rPr>
              <w:t>Life Expectancy Score</w:t>
            </w:r>
          </w:p>
        </w:tc>
        <w:tc>
          <w:tcPr>
            <w:tcW w:type="dxa" w:w="2556"/>
            <w:vAlign w:val="center"/>
          </w:tcPr>
          <w:p>
            <w:pPr>
              <w:jc w:val="left"/>
            </w:pPr>
            <w:r>
              <w:rPr>
                <w:sz w:val="18"/>
              </w:rPr>
              <w:t>15%</w:t>
            </w:r>
          </w:p>
        </w:tc>
        <w:tc>
          <w:tcPr>
            <w:tcW w:type="dxa" w:w="2556"/>
            <w:vAlign w:val="center"/>
          </w:tcPr>
          <w:p>
            <w:pPr>
              <w:jc w:val="left"/>
            </w:pPr>
            <w:r>
              <w:rPr>
                <w:sz w:val="18"/>
              </w:rPr>
              <w:t>Higher is better</w:t>
            </w:r>
          </w:p>
        </w:tc>
      </w:tr>
      <w:tr>
        <w:tc>
          <w:tcPr>
            <w:tcW w:type="dxa" w:w="2556"/>
            <w:vAlign w:val="center"/>
          </w:tcPr>
          <w:p>
            <w:pPr>
              <w:jc w:val="center"/>
            </w:pPr>
            <w:r>
              <w:rPr>
                <w:sz w:val="18"/>
              </w:rPr>
              <w:t>Female Labour Force Participation Rate (%)</w:t>
            </w:r>
          </w:p>
        </w:tc>
        <w:tc>
          <w:tcPr>
            <w:tcW w:type="dxa" w:w="2556"/>
            <w:vAlign w:val="center"/>
          </w:tcPr>
          <w:p>
            <w:pPr>
              <w:jc w:val="left"/>
            </w:pPr>
            <w:r>
              <w:rPr>
                <w:sz w:val="18"/>
              </w:rPr>
              <w:t>Female LFPR Score</w:t>
            </w:r>
          </w:p>
        </w:tc>
        <w:tc>
          <w:tcPr>
            <w:tcW w:type="dxa" w:w="2556"/>
            <w:vAlign w:val="center"/>
          </w:tcPr>
          <w:p>
            <w:pPr>
              <w:jc w:val="left"/>
            </w:pPr>
            <w:r>
              <w:rPr>
                <w:sz w:val="18"/>
              </w:rPr>
              <w:t>10%</w:t>
            </w:r>
          </w:p>
        </w:tc>
        <w:tc>
          <w:tcPr>
            <w:tcW w:type="dxa" w:w="2556"/>
            <w:vAlign w:val="center"/>
          </w:tcPr>
          <w:p>
            <w:pPr>
              <w:jc w:val="left"/>
            </w:pPr>
            <w:r>
              <w:rPr>
                <w:sz w:val="18"/>
              </w:rPr>
              <w:t>Higher is better</w:t>
            </w:r>
          </w:p>
        </w:tc>
      </w:tr>
      <w:tr>
        <w:tc>
          <w:tcPr>
            <w:tcW w:type="dxa" w:w="2556"/>
            <w:vAlign w:val="center"/>
          </w:tcPr>
          <w:p>
            <w:pPr>
              <w:jc w:val="center"/>
            </w:pPr>
            <w:r>
              <w:rPr>
                <w:sz w:val="18"/>
              </w:rPr>
              <w:t>Internet Penetration (%)</w:t>
            </w:r>
          </w:p>
        </w:tc>
        <w:tc>
          <w:tcPr>
            <w:tcW w:type="dxa" w:w="2556"/>
            <w:vAlign w:val="center"/>
          </w:tcPr>
          <w:p>
            <w:pPr>
              <w:jc w:val="left"/>
            </w:pPr>
            <w:r>
              <w:rPr>
                <w:sz w:val="18"/>
              </w:rPr>
              <w:t>Internet Score</w:t>
            </w:r>
          </w:p>
        </w:tc>
        <w:tc>
          <w:tcPr>
            <w:tcW w:type="dxa" w:w="2556"/>
            <w:vAlign w:val="center"/>
          </w:tcPr>
          <w:p>
            <w:pPr>
              <w:jc w:val="left"/>
            </w:pPr>
            <w:r>
              <w:rPr>
                <w:sz w:val="18"/>
              </w:rPr>
              <w:t>10%</w:t>
            </w:r>
          </w:p>
        </w:tc>
        <w:tc>
          <w:tcPr>
            <w:tcW w:type="dxa" w:w="2556"/>
            <w:vAlign w:val="center"/>
          </w:tcPr>
          <w:p>
            <w:pPr>
              <w:jc w:val="left"/>
            </w:pPr>
            <w:r>
              <w:rPr>
                <w:sz w:val="18"/>
              </w:rPr>
              <w:t>Higher is better</w:t>
            </w:r>
          </w:p>
        </w:tc>
      </w:tr>
    </w:tbl>
    <w:p/>
    <w:p>
      <w:pPr>
        <w:pStyle w:val="Heading1"/>
      </w:pPr>
      <w:r>
        <w:t>5. Methodology</w:t>
      </w:r>
    </w:p>
    <w:p>
      <w:r>
        <w:t>The analysis follows a five-stage workflow: data collection, Min-Max normalization, reverse normalization of unemployment, weighted score calculation, and final state ranking.</w:t>
      </w:r>
    </w:p>
    <w:p>
      <w:pPr>
        <w:pStyle w:val="ListBullet"/>
        <w:spacing w:after="80"/>
      </w:pPr>
      <w:r>
        <w:t>Min-Max normalization converts each indicator to a 0-100 scale.</w:t>
      </w:r>
    </w:p>
    <w:p>
      <w:pPr>
        <w:pStyle w:val="ListBullet"/>
        <w:spacing w:after="80"/>
      </w:pPr>
      <w:r>
        <w:t>Unemployment is reverse-normalized because lower unemployment represents better performance.</w:t>
      </w:r>
    </w:p>
    <w:p>
      <w:pPr>
        <w:pStyle w:val="ListBullet"/>
        <w:spacing w:after="80"/>
      </w:pPr>
      <w:r>
        <w:t>Each normalized score is multiplied by its assigned weight.</w:t>
      </w:r>
    </w:p>
    <w:p>
      <w:pPr>
        <w:pStyle w:val="ListBullet"/>
        <w:spacing w:after="80"/>
      </w:pPr>
      <w:r>
        <w:t>The weighted components are summed to obtain the Development Score.</w:t>
      </w:r>
    </w:p>
    <w:p>
      <w:pPr>
        <w:pStyle w:val="ListBullet"/>
        <w:spacing w:after="80"/>
      </w:pPr>
      <w:r>
        <w:t>States are ranked in descending order of Development Score.</w:t>
      </w:r>
    </w:p>
    <w:p>
      <w:pPr>
        <w:pStyle w:val="Heading1"/>
      </w:pPr>
      <w:r>
        <w:t>6. Dashboard Structure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1F4E79"/>
            <w:vAlign w:val="center"/>
          </w:tcPr>
          <w:p>
            <w:pPr>
              <w:jc w:val="center"/>
            </w:pPr>
            <w:r>
              <w:rPr>
                <w:b/>
                <w:color w:val="FFFFFF"/>
                <w:sz w:val="18"/>
              </w:rPr>
              <w:t>Page</w:t>
            </w:r>
          </w:p>
        </w:tc>
        <w:tc>
          <w:tcPr>
            <w:tcW w:type="dxa" w:w="5112"/>
            <w:shd w:fill="1F4E79"/>
            <w:vAlign w:val="center"/>
          </w:tcPr>
          <w:p>
            <w:pPr>
              <w:jc w:val="center"/>
            </w:pPr>
            <w:r>
              <w:rPr>
                <w:b/>
                <w:color w:val="FFFFFF"/>
                <w:sz w:val="18"/>
              </w:rPr>
              <w:t>Purpose</w:t>
            </w:r>
          </w:p>
        </w:tc>
      </w:tr>
      <w:tr>
        <w:tc>
          <w:tcPr>
            <w:tcW w:type="dxa" w:w="5112"/>
            <w:vAlign w:val="center"/>
          </w:tcPr>
          <w:p>
            <w:pPr>
              <w:jc w:val="center"/>
            </w:pPr>
            <w:r>
              <w:rPr>
                <w:sz w:val="18"/>
              </w:rPr>
              <w:t>1. Executive Summary</w:t>
            </w:r>
          </w:p>
        </w:tc>
        <w:tc>
          <w:tcPr>
            <w:tcW w:type="dxa" w:w="5112"/>
            <w:vAlign w:val="center"/>
          </w:tcPr>
          <w:p>
            <w:pPr>
              <w:jc w:val="left"/>
            </w:pPr>
            <w:r>
              <w:rPr>
                <w:sz w:val="18"/>
              </w:rPr>
              <w:t>KPIs, overall rankings, Top 5 and Bottom 5 states.</w:t>
            </w:r>
          </w:p>
        </w:tc>
      </w:tr>
      <w:tr>
        <w:tc>
          <w:tcPr>
            <w:tcW w:type="dxa" w:w="5112"/>
            <w:vAlign w:val="center"/>
          </w:tcPr>
          <w:p>
            <w:pPr>
              <w:jc w:val="center"/>
            </w:pPr>
            <w:r>
              <w:rPr>
                <w:sz w:val="18"/>
              </w:rPr>
              <w:t>2. Development Drivers &amp; State Scorecard</w:t>
            </w:r>
          </w:p>
        </w:tc>
        <w:tc>
          <w:tcPr>
            <w:tcW w:type="dxa" w:w="5112"/>
            <w:vAlign w:val="center"/>
          </w:tcPr>
          <w:p>
            <w:pPr>
              <w:jc w:val="left"/>
            </w:pPr>
            <w:r>
              <w:rPr>
                <w:sz w:val="18"/>
              </w:rPr>
              <w:t>Income-development relationship, indicator comparison and detailed score matrix.</w:t>
            </w:r>
          </w:p>
        </w:tc>
      </w:tr>
      <w:tr>
        <w:tc>
          <w:tcPr>
            <w:tcW w:type="dxa" w:w="5112"/>
            <w:vAlign w:val="center"/>
          </w:tcPr>
          <w:p>
            <w:pPr>
              <w:jc w:val="center"/>
            </w:pPr>
            <w:r>
              <w:rPr>
                <w:sz w:val="18"/>
              </w:rPr>
              <w:t>3. Regional Development Analysis</w:t>
            </w:r>
          </w:p>
        </w:tc>
        <w:tc>
          <w:tcPr>
            <w:tcW w:type="dxa" w:w="5112"/>
            <w:vAlign w:val="center"/>
          </w:tcPr>
          <w:p>
            <w:pPr>
              <w:jc w:val="left"/>
            </w:pPr>
            <w:r>
              <w:rPr>
                <w:sz w:val="18"/>
              </w:rPr>
              <w:t>State comparison through clustered bar, treemap and ribbon visuals.</w:t>
            </w:r>
          </w:p>
        </w:tc>
      </w:tr>
      <w:tr>
        <w:tc>
          <w:tcPr>
            <w:tcW w:type="dxa" w:w="5112"/>
            <w:vAlign w:val="center"/>
          </w:tcPr>
          <w:p>
            <w:pPr>
              <w:jc w:val="center"/>
            </w:pPr>
            <w:r>
              <w:rPr>
                <w:sz w:val="18"/>
              </w:rPr>
              <w:t>4. Policy Recommendations &amp; Strategic Priorities</w:t>
            </w:r>
          </w:p>
        </w:tc>
        <w:tc>
          <w:tcPr>
            <w:tcW w:type="dxa" w:w="5112"/>
            <w:vAlign w:val="center"/>
          </w:tcPr>
          <w:p>
            <w:pPr>
              <w:jc w:val="left"/>
            </w:pPr>
            <w:r>
              <w:rPr>
                <w:sz w:val="18"/>
              </w:rPr>
              <w:t>Lower-performing states, intervention priorities and actionable policy recommendations.</w:t>
            </w:r>
          </w:p>
        </w:tc>
      </w:tr>
    </w:tbl>
    <w:p/>
    <w:p>
      <w:pPr>
        <w:pStyle w:val="Heading1"/>
      </w:pPr>
      <w:r>
        <w:t>7. Key Findings</w:t>
      </w:r>
    </w:p>
    <w:p>
      <w:pPr>
        <w:pStyle w:val="ListBullet"/>
        <w:spacing w:after="80"/>
      </w:pPr>
      <w:r>
        <w:t>Tamil Nadu achieved the highest Development Score (64.66).</w:t>
      </w:r>
    </w:p>
    <w:p>
      <w:pPr>
        <w:pStyle w:val="ListBullet"/>
        <w:spacing w:after="80"/>
      </w:pPr>
      <w:r>
        <w:t>Maharashtra ranked second (63.45), followed by Kerala (60.57).</w:t>
      </w:r>
    </w:p>
    <w:p>
      <w:pPr>
        <w:pStyle w:val="ListBullet"/>
        <w:spacing w:after="80"/>
      </w:pPr>
      <w:r>
        <w:t>Bihar recorded the lowest Development Score (28.09).</w:t>
      </w:r>
    </w:p>
    <w:p>
      <w:pPr>
        <w:pStyle w:val="ListBullet"/>
        <w:spacing w:after="80"/>
      </w:pPr>
      <w:r>
        <w:t>The average Development Score across the 20 analysed states is 43.52.</w:t>
      </w:r>
    </w:p>
    <w:p>
      <w:pPr>
        <w:pStyle w:val="ListBullet"/>
        <w:spacing w:after="80"/>
      </w:pPr>
      <w:r>
        <w:t>The gap between the highest and lowest state scores is approximately 36.57 points.</w:t>
      </w:r>
    </w:p>
    <w:p>
      <w:pPr>
        <w:pStyle w:val="ListBullet"/>
        <w:spacing w:after="80"/>
      </w:pPr>
      <w:r>
        <w:t>The scatter analysis shows a positive association between Per Capita Income and Development Score.</w:t>
      </w:r>
    </w:p>
    <w:p>
      <w:pPr>
        <w:pStyle w:val="ListBullet"/>
        <w:spacing w:after="80"/>
      </w:pPr>
      <w:r>
        <w:t>Balanced performance across multiple indicators is central to strong overall rankings.</w:t>
      </w:r>
    </w:p>
    <w:p>
      <w:pPr>
        <w:pStyle w:val="Heading1"/>
      </w:pPr>
      <w:r>
        <w:t>8. Data Sources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1F4E79"/>
            <w:vAlign w:val="center"/>
          </w:tcPr>
          <w:p>
            <w:pPr>
              <w:jc w:val="center"/>
            </w:pPr>
            <w:r>
              <w:rPr>
                <w:b/>
                <w:color w:val="FFFFFF"/>
                <w:sz w:val="18"/>
              </w:rPr>
              <w:t>Indicator</w:t>
            </w:r>
          </w:p>
        </w:tc>
        <w:tc>
          <w:tcPr>
            <w:tcW w:type="dxa" w:w="5112"/>
            <w:shd w:fill="1F4E79"/>
            <w:vAlign w:val="center"/>
          </w:tcPr>
          <w:p>
            <w:pPr>
              <w:jc w:val="center"/>
            </w:pPr>
            <w:r>
              <w:rPr>
                <w:b/>
                <w:color w:val="FFFFFF"/>
                <w:sz w:val="18"/>
              </w:rPr>
              <w:t>Source</w:t>
            </w:r>
          </w:p>
        </w:tc>
      </w:tr>
      <w:tr>
        <w:tc>
          <w:tcPr>
            <w:tcW w:type="dxa" w:w="5112"/>
            <w:vAlign w:val="center"/>
          </w:tcPr>
          <w:p>
            <w:pPr>
              <w:jc w:val="center"/>
            </w:pPr>
            <w:r>
              <w:rPr>
                <w:sz w:val="18"/>
              </w:rPr>
              <w:t>Per Capita Income (₹/year)</w:t>
            </w:r>
          </w:p>
        </w:tc>
        <w:tc>
          <w:tcPr>
            <w:tcW w:type="dxa" w:w="5112"/>
            <w:vAlign w:val="center"/>
          </w:tcPr>
          <w:p>
            <w:pPr>
              <w:jc w:val="left"/>
            </w:pPr>
            <w:r>
              <w:rPr>
                <w:sz w:val="18"/>
              </w:rPr>
              <w:t>RBI Handbook of Statistics on Indian States</w:t>
            </w:r>
          </w:p>
        </w:tc>
      </w:tr>
      <w:tr>
        <w:tc>
          <w:tcPr>
            <w:tcW w:type="dxa" w:w="5112"/>
            <w:vAlign w:val="center"/>
          </w:tcPr>
          <w:p>
            <w:pPr>
              <w:jc w:val="center"/>
            </w:pPr>
            <w:r>
              <w:rPr>
                <w:sz w:val="18"/>
              </w:rPr>
              <w:t>GSDP Growth Rate (%)</w:t>
            </w:r>
          </w:p>
        </w:tc>
        <w:tc>
          <w:tcPr>
            <w:tcW w:type="dxa" w:w="5112"/>
            <w:vAlign w:val="center"/>
          </w:tcPr>
          <w:p>
            <w:pPr>
              <w:jc w:val="left"/>
            </w:pPr>
            <w:r>
              <w:rPr>
                <w:sz w:val="18"/>
              </w:rPr>
              <w:t>RBI Handbook of Statistics on Indian States</w:t>
            </w:r>
          </w:p>
        </w:tc>
      </w:tr>
      <w:tr>
        <w:tc>
          <w:tcPr>
            <w:tcW w:type="dxa" w:w="5112"/>
            <w:vAlign w:val="center"/>
          </w:tcPr>
          <w:p>
            <w:pPr>
              <w:jc w:val="center"/>
            </w:pPr>
            <w:r>
              <w:rPr>
                <w:sz w:val="18"/>
              </w:rPr>
              <w:t>Unemployment Rate (%)</w:t>
            </w:r>
          </w:p>
        </w:tc>
        <w:tc>
          <w:tcPr>
            <w:tcW w:type="dxa" w:w="5112"/>
            <w:vAlign w:val="center"/>
          </w:tcPr>
          <w:p>
            <w:pPr>
              <w:jc w:val="left"/>
            </w:pPr>
            <w:r>
              <w:rPr>
                <w:sz w:val="18"/>
              </w:rPr>
              <w:t>Periodic Labour Force Survey (PLFS)</w:t>
            </w:r>
          </w:p>
        </w:tc>
      </w:tr>
      <w:tr>
        <w:tc>
          <w:tcPr>
            <w:tcW w:type="dxa" w:w="5112"/>
            <w:vAlign w:val="center"/>
          </w:tcPr>
          <w:p>
            <w:pPr>
              <w:jc w:val="center"/>
            </w:pPr>
            <w:r>
              <w:rPr>
                <w:sz w:val="18"/>
              </w:rPr>
              <w:t>Female Labour Force Participation Rate (%)</w:t>
            </w:r>
          </w:p>
        </w:tc>
        <w:tc>
          <w:tcPr>
            <w:tcW w:type="dxa" w:w="5112"/>
            <w:vAlign w:val="center"/>
          </w:tcPr>
          <w:p>
            <w:pPr>
              <w:jc w:val="left"/>
            </w:pPr>
            <w:r>
              <w:rPr>
                <w:sz w:val="18"/>
              </w:rPr>
              <w:t>Periodic Labour Force Survey (PLFS)</w:t>
            </w:r>
          </w:p>
        </w:tc>
      </w:tr>
      <w:tr>
        <w:tc>
          <w:tcPr>
            <w:tcW w:type="dxa" w:w="5112"/>
            <w:vAlign w:val="center"/>
          </w:tcPr>
          <w:p>
            <w:pPr>
              <w:jc w:val="center"/>
            </w:pPr>
            <w:r>
              <w:rPr>
                <w:sz w:val="18"/>
              </w:rPr>
              <w:t>Literacy Rate (%)</w:t>
            </w:r>
          </w:p>
        </w:tc>
        <w:tc>
          <w:tcPr>
            <w:tcW w:type="dxa" w:w="5112"/>
            <w:vAlign w:val="center"/>
          </w:tcPr>
          <w:p>
            <w:pPr>
              <w:jc w:val="left"/>
            </w:pPr>
            <w:r>
              <w:rPr>
                <w:sz w:val="18"/>
              </w:rPr>
              <w:t>PLFS and Census-based Estimates</w:t>
            </w:r>
          </w:p>
        </w:tc>
      </w:tr>
      <w:tr>
        <w:tc>
          <w:tcPr>
            <w:tcW w:type="dxa" w:w="5112"/>
            <w:vAlign w:val="center"/>
          </w:tcPr>
          <w:p>
            <w:pPr>
              <w:jc w:val="center"/>
            </w:pPr>
            <w:r>
              <w:rPr>
                <w:sz w:val="18"/>
              </w:rPr>
              <w:t>Life Expectancy (Years)</w:t>
            </w:r>
          </w:p>
        </w:tc>
        <w:tc>
          <w:tcPr>
            <w:tcW w:type="dxa" w:w="5112"/>
            <w:vAlign w:val="center"/>
          </w:tcPr>
          <w:p>
            <w:pPr>
              <w:jc w:val="left"/>
            </w:pPr>
            <w:r>
              <w:rPr>
                <w:sz w:val="18"/>
              </w:rPr>
              <w:t>Sample Registration System (SRS), Registrar General of India</w:t>
            </w:r>
          </w:p>
        </w:tc>
      </w:tr>
      <w:tr>
        <w:tc>
          <w:tcPr>
            <w:tcW w:type="dxa" w:w="5112"/>
            <w:vAlign w:val="center"/>
          </w:tcPr>
          <w:p>
            <w:pPr>
              <w:jc w:val="center"/>
            </w:pPr>
            <w:r>
              <w:rPr>
                <w:sz w:val="18"/>
              </w:rPr>
              <w:t>Internet Penetration (%)</w:t>
            </w:r>
          </w:p>
        </w:tc>
        <w:tc>
          <w:tcPr>
            <w:tcW w:type="dxa" w:w="5112"/>
            <w:vAlign w:val="center"/>
          </w:tcPr>
          <w:p>
            <w:pPr>
              <w:jc w:val="left"/>
            </w:pPr>
            <w:r>
              <w:rPr>
                <w:sz w:val="18"/>
              </w:rPr>
              <w:t>Telecom Regulatory Authority of India (TRAI)</w:t>
            </w:r>
          </w:p>
        </w:tc>
      </w:tr>
    </w:tbl>
    <w:p/>
    <w:p>
      <w:pPr>
        <w:pStyle w:val="Heading1"/>
      </w:pPr>
      <w:r>
        <w:t>9. Limitations</w:t>
      </w:r>
    </w:p>
    <w:p>
      <w:pPr>
        <w:pStyle w:val="ListBullet"/>
        <w:spacing w:after="80"/>
      </w:pPr>
      <w:r>
        <w:t>The analysis covers 20 selected states rather than the full set of Indian states and union territories.</w:t>
      </w:r>
    </w:p>
    <w:p>
      <w:pPr>
        <w:pStyle w:val="ListBullet"/>
        <w:spacing w:after="80"/>
      </w:pPr>
      <w:r>
        <w:t>The weighting scheme is predefined and may influence final rankings.</w:t>
      </w:r>
    </w:p>
    <w:p>
      <w:pPr>
        <w:pStyle w:val="ListBullet"/>
        <w:spacing w:after="80"/>
      </w:pPr>
      <w:r>
        <w:t>The dashboard is cross-sectional for 2023-24 rather than a time-series study.</w:t>
      </w:r>
    </w:p>
    <w:p>
      <w:pPr>
        <w:pStyle w:val="ListBullet"/>
        <w:spacing w:after="80"/>
      </w:pPr>
      <w:r>
        <w:t>The composite score is an analytical framework and should not be interpreted as an official government index.</w:t>
      </w:r>
    </w:p>
    <w:p>
      <w:pPr>
        <w:pStyle w:val="Heading1"/>
      </w:pPr>
      <w:r>
        <w:t>10. Files and Usage</w:t>
      </w:r>
    </w:p>
    <w:p>
      <w:r>
        <w:t>The working application is the Power BI (.pbix) dashboard. The Excel workbook is the master dataset used as the source table. Open the PBIX file in Power BI Desktop to interact with all four dashboard pages.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66666"/>
        <w:sz w:val="16"/>
      </w:rPr>
      <w:t xml:space="preserve">India State-Wise Development Analysis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Segoe UI" w:hAnsi="Segoe U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Segoe UI" w:hAnsi="Segoe U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w:hAnsi="Segoe U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Segoe UI" w:hAnsi="Segoe U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